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Отчёт по лабораторной работе №1</w:t>
      </w:r>
    </w:p>
    <w:p>
      <w:pPr>
        <w:pStyle w:val="Subtitle"/>
      </w:pPr>
      <w:r>
        <w:t xml:space="preserve">Классификация текстов на основе стилометрических характеристик</w:t>
      </w:r>
    </w:p>
    <w:p>
      <w:pPr>
        <w:pStyle w:val="Author"/>
      </w:pPr>
      <w:r>
        <w:t xml:space="preserve">А. А. Аладьина, В. Н. Копнин, М. В. Савостиков</w:t>
      </w:r>
    </w:p>
    <w:p>
      <w:pPr>
        <w:spacing w:before="360"/>
        <w:ind w:firstLine="0"/>
        <w:jc w:val="center"/>
      </w:pPr>
      <w:r>
        <w:rPr>
          <w:rFonts w:ascii="Times New Roman" w:hAnsi="Times New Roman" w:eastAsia="Times New Roman"/>
          <w:color w:val="555555"/>
          <w:sz w:val="22"/>
        </w:rPr>
        <w:t>Направление: автоматический анализ текстов</w:t>
        <w:br/>
      </w:r>
      <w:r>
        <w:rPr>
          <w:rFonts w:ascii="Times New Roman" w:hAnsi="Times New Roman" w:eastAsia="Times New Roman"/>
          <w:color w:val="555555"/>
          <w:sz w:val="22"/>
        </w:rPr>
        <w:t>Корпус: Stardew Valley · 2005 реплик · 34 персонажа</w:t>
      </w:r>
    </w:p>
    <w:p>
      <w:pPr>
        <w:pStyle w:val="Date"/>
      </w:pPr>
      <w:r>
        <w:t xml:space="preserve">01.11.2026</w:t>
      </w:r>
    </w:p>
    <w:p>
      <w:pPr>
        <w:spacing w:after="0"/>
      </w:pPr>
      <w:r>
        <w:br w:type="page"/>
      </w:r>
    </w:p>
    <w:bookmarkStart w:id="20" w:name="аннотация"/>
    <w:p>
      <w:pPr>
        <w:pStyle w:val="Heading1"/>
      </w:pPr>
      <w:r>
        <w:t xml:space="preserve">Аннотация</w:t>
      </w:r>
    </w:p>
    <w:p>
      <w:pPr>
        <w:pStyle w:val="FirstParagraph"/>
      </w:pPr>
      <w:r>
        <w:t xml:space="preserve">Работа посвящена стилометрической классификации реплик персонажей игры</w:t>
      </w:r>
      <w:r>
        <w:t xml:space="preserve"> </w:t>
      </w:r>
      <w:r>
        <w:t xml:space="preserve">Stardew Valley. Корпус содержит 2005 реплик, принадлежащих 34 персонажам;</w:t>
      </w:r>
      <w:r>
        <w:t xml:space="preserve"> </w:t>
      </w:r>
      <w:r>
        <w:t xml:space="preserve">все реплики написаны одним автором. Проверяется, различимы ли речевые маски</w:t>
      </w:r>
      <w:r>
        <w:t xml:space="preserve"> </w:t>
      </w:r>
      <w:r>
        <w:t xml:space="preserve">персонажей по отдельной реплике, если исключить авторскую атрибуцию как</w:t>
      </w:r>
      <w:r>
        <w:t xml:space="preserve"> </w:t>
      </w:r>
      <w:r>
        <w:t xml:space="preserve">таковую.</w:t>
      </w:r>
    </w:p>
    <w:p>
      <w:pPr>
        <w:pStyle w:val="BodyText"/>
      </w:pPr>
      <w:r>
        <w:t xml:space="preserve">Построены 454 ручных стилометрических признака, символьные и частеречные</w:t>
      </w:r>
      <w:r>
        <w:t xml:space="preserve"> </w:t>
      </w:r>
      <w:r>
        <w:t xml:space="preserve">n-граммы, а также несколько вариантов латентно-семантического анализа.</w:t>
      </w:r>
      <w:r>
        <w:t xml:space="preserve"> </w:t>
      </w:r>
      <w:r>
        <w:t xml:space="preserve">Сравнивались логистическая регрессия, линейный метод опорных векторов,</w:t>
      </w:r>
      <w:r>
        <w:t xml:space="preserve"> </w:t>
      </w:r>
      <w:r>
        <w:t xml:space="preserve">наивный байесовский классификатор, случайный лес, сверхслучайные деревья,</w:t>
      </w:r>
      <w:r>
        <w:t xml:space="preserve"> </w:t>
      </w:r>
      <w:r>
        <w:t xml:space="preserve">метод ближайших соседей и дельта Барроуза. Использована повторная</w:t>
      </w:r>
      <w:r>
        <w:t xml:space="preserve"> </w:t>
      </w:r>
      <w:r>
        <w:t xml:space="preserve">стратифицированная перекрёстная проверка, вложенная настройка параметров и</w:t>
      </w:r>
      <w:r>
        <w:t xml:space="preserve"> </w:t>
      </w:r>
      <w:r>
        <w:t xml:space="preserve">отдельная отложенная выборка.</w:t>
      </w:r>
    </w:p>
    <w:p>
      <w:pPr>
        <w:pStyle w:val="BodyText"/>
      </w:pPr>
      <w:r>
        <w:t xml:space="preserve">Лучший наблюдаемый результат — мягкое голосование трёх моделей: macro-F1</w:t>
      </w:r>
      <w:r>
        <w:t xml:space="preserve"> </w:t>
      </w:r>
      <w:r>
        <w:t xml:space="preserve">около</w:t>
      </w:r>
      <w:r>
        <w:t xml:space="preserve"> </w:t>
      </w:r>
      <w:r>
        <w:rPr>
          <w:b/>
          <w:bCs/>
        </w:rPr>
        <w:t xml:space="preserve">0,304</w:t>
      </w:r>
      <w:r>
        <w:t xml:space="preserve"> </w:t>
      </w:r>
      <w:r>
        <w:t xml:space="preserve">при перекрёстной проверке и</w:t>
      </w:r>
      <w:r>
        <w:t xml:space="preserve"> </w:t>
      </w:r>
      <w:r>
        <w:rPr>
          <w:b/>
          <w:bCs/>
        </w:rPr>
        <w:t xml:space="preserve">0,333</w:t>
      </w:r>
      <w:r>
        <w:t xml:space="preserve"> </w:t>
      </w:r>
      <w:r>
        <w:t xml:space="preserve">на отложенной выборке.</w:t>
      </w:r>
      <w:r>
        <w:t xml:space="preserve"> </w:t>
      </w:r>
      <w:r>
        <w:t xml:space="preserve">Консервативная оценка при вложенном выборе конфигурации —</w:t>
      </w:r>
      <w:r>
        <w:t xml:space="preserve"> </w:t>
      </w:r>
      <w:r>
        <w:rPr>
          <w:b/>
          <w:bCs/>
        </w:rPr>
        <w:t xml:space="preserve">0,275</w:t>
      </w:r>
      <w:r>
        <w:t xml:space="preserve">.</w:t>
      </w:r>
      <w:r>
        <w:t xml:space="preserve"> </w:t>
      </w:r>
      <w:r>
        <w:t xml:space="preserve">Случайный уровень для 34 классов —</w:t>
      </w:r>
      <w:r>
        <w:t xml:space="preserve"> </w:t>
      </w:r>
      <w:r>
        <w:rPr>
          <w:b/>
          <w:bCs/>
        </w:rPr>
        <w:t xml:space="preserve">0,029</w:t>
      </w:r>
      <w:r>
        <w:t xml:space="preserve">. Основной вклад дают</w:t>
      </w:r>
      <w:r>
        <w:t xml:space="preserve"> </w:t>
      </w:r>
      <w:r>
        <w:t xml:space="preserve">лексико-тематические признаки и символьные n-граммы; после замены</w:t>
      </w:r>
      <w:r>
        <w:t xml:space="preserve"> </w:t>
      </w:r>
      <w:r>
        <w:t xml:space="preserve">содержательных слов нейтральным маркером качество падает с 0,248 до 0,113.</w:t>
      </w:r>
      <w:r>
        <w:t xml:space="preserve"> </w:t>
      </w:r>
      <w:r>
        <w:t xml:space="preserve">Следовательно, результат корректно интерпретировать как различимость речевых</w:t>
      </w:r>
      <w:r>
        <w:t xml:space="preserve"> </w:t>
      </w:r>
      <w:r>
        <w:t xml:space="preserve">масок по лексико-тематическому профилю, а не как доказательство «чистого»</w:t>
      </w:r>
      <w:r>
        <w:t xml:space="preserve"> </w:t>
      </w:r>
      <w:r>
        <w:t xml:space="preserve">идиолекта.</w:t>
      </w:r>
    </w:p>
    <w:bookmarkEnd w:id="20"/>
    <w:bookmarkStart w:id="24" w:name="постановка-задачи"/>
    <w:p>
      <w:pPr>
        <w:pStyle w:val="Heading1"/>
      </w:pPr>
      <w:r>
        <w:t xml:space="preserve">1. Постановка задачи</w:t>
      </w:r>
    </w:p>
    <w:bookmarkStart w:id="21" w:name="направление-исследования"/>
    <w:p>
      <w:pPr>
        <w:pStyle w:val="Heading2"/>
      </w:pPr>
      <w:r>
        <w:t xml:space="preserve">1.1. Направление исследования</w:t>
      </w:r>
    </w:p>
    <w:p>
      <w:pPr>
        <w:pStyle w:val="FirstParagraph"/>
      </w:pPr>
      <w:r>
        <w:t xml:space="preserve">Направление работы — классификация текстов по стилометрическим</w:t>
      </w:r>
      <w:r>
        <w:t xml:space="preserve"> </w:t>
      </w:r>
      <w:r>
        <w:t xml:space="preserve">характеристикам. В отличие от классической авторской атрибуции, все тексты</w:t>
      </w:r>
      <w:r>
        <w:t xml:space="preserve"> </w:t>
      </w:r>
      <w:r>
        <w:t xml:space="preserve">корпуса принадлежат одному автору. Исследуется другой вопрос:</w:t>
      </w:r>
    </w:p>
    <w:p>
      <w:pPr>
        <w:pStyle w:val="BlockText"/>
        <w:pBdr>
          <w:left w:val="single" w:sz="18" w:space="8" w:color="B8A88F"/>
        </w:pBdr>
      </w:pPr>
      <w:r>
        <w:t xml:space="preserve">различаются ли речевые маски 34 персонажей по стилометрическим признакам</w:t>
      </w:r>
      <w:r>
        <w:t xml:space="preserve"> </w:t>
      </w:r>
      <w:r>
        <w:t xml:space="preserve">отдельных реплик, если автор у них общий?</w:t>
      </w:r>
    </w:p>
    <w:p>
      <w:pPr>
        <w:pStyle w:val="FirstParagraph"/>
      </w:pPr>
      <w:r>
        <w:t xml:space="preserve">Такая постановка позволяет проверить, насколько автор намеренно создаёт</w:t>
      </w:r>
      <w:r>
        <w:t xml:space="preserve"> </w:t>
      </w:r>
      <w:r>
        <w:t xml:space="preserve">разные голоса персонажей, и какие признаки несут этот сигнал.</w:t>
      </w:r>
    </w:p>
    <w:bookmarkEnd w:id="21"/>
    <w:bookmarkStart w:id="22" w:name="гипотезы"/>
    <w:p>
      <w:pPr>
        <w:pStyle w:val="Heading2"/>
      </w:pPr>
      <w:r>
        <w:t xml:space="preserve">1.2. Гипотезы</w:t>
      </w:r>
    </w:p>
    <w:p>
      <w:pPr>
        <w:pStyle w:val="TableCaption"/>
        <w:keepNext/>
        <w:spacing w:before="200" w:after="80"/>
        <w:ind w:firstLine="0"/>
      </w:pPr>
      <w:r>
        <w:rPr>
          <w:rFonts w:ascii="Times New Roman" w:hAnsi="Times New Roman" w:eastAsia="Times New Roman"/>
          <w:b/>
          <w:color w:val="1A1A1A"/>
          <w:sz w:val="20"/>
        </w:rPr>
        <w:t>Таблица 1. Гипотезы исследования и способ их проверки</w:t>
      </w:r>
    </w:p>
    <w:tbl>
      <w:tblPr>
        <w:tblStyle w:val="Table"/>
        <w:tblW w:type="pct" w:w="5000"/>
        <w:jc w:val="center"/>
        <w:tblLayout w:type="fixed"/>
        <w:tblLook w:firstRow="1" w:lastRow="0" w:firstColumn="0" w:lastColumn="0" w:noHBand="0" w:noVBand="0" w:val="0020"/>
        <w:tblBorders>
          <w:top w:val="single" w:sz="4" w:space="0" w:color="B8A88F"/>
          <w:left w:val="single" w:sz="4" w:space="0" w:color="B8A88F"/>
          <w:bottom w:val="single" w:sz="4" w:space="0" w:color="B8A88F"/>
          <w:right w:val="single" w:sz="4" w:space="0" w:color="B8A88F"/>
          <w:insideH w:val="single" w:sz="4" w:space="0" w:color="B8A88F"/>
          <w:insideV w:val="single" w:sz="4" w:space="0" w:color="B8A88F"/>
        </w:tblBorders>
        <w:tblCellMar>
          <w:top w:w="60" w:type="dxa"/>
          <w:left w:w="90" w:type="dxa"/>
          <w:bottom w:w="60" w:type="dxa"/>
          <w:right w:w="90" w:type="dxa"/>
        </w:tblCellMar>
        <w:tblW w:type="pct" w:w="100%"/>
        <w:tblLayout w:type="fixed"/>
      </w:tblPr>
      <w:tblGrid>
        <w:gridCol w:w="1587"/>
        <w:gridCol w:w="7824"/>
      </w:tblGrid>
      <w:tr>
        <w:trPr>
          <w:tblHeader w:val="on"/>
          <w:tblHeader w:val="true"/>
          <w:cantSplit w:val="true"/>
        </w:trPr>
        <w:tc>
          <w:tcPr>
            <w:tcW w:type="dxa" w:w="1587"/>
            <w:shd w:val="clear" w:color="auto" w:fill="F1E8D8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/>
                <w:sz w:val="20"/>
              </w:rPr>
              <w:t xml:space="preserve">Обозначение</w:t>
            </w:r>
          </w:p>
        </w:tc>
        <w:tc>
          <w:tcPr>
            <w:tcW w:type="dxa" w:w="7824"/>
            <w:shd w:val="clear" w:color="auto" w:fill="F1E8D8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/>
                <w:sz w:val="20"/>
              </w:rPr>
              <w:t xml:space="preserve">Гипотеза</w:t>
            </w:r>
          </w:p>
        </w:tc>
      </w:tr>
      <w:tr>
        <w:trPr>
          <w:cantSplit w:val="true"/>
        </w:trPr>
        <w:tc>
          <w:tcPr>
            <w:tcW w:type="dxa" w:w="1587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H1</w:t>
            </w:r>
          </w:p>
        </w:tc>
        <w:tc>
          <w:tcPr>
            <w:tcW w:type="dxa" w:w="7824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Функциональные слова, части речи и символьные n-граммы различают персонажей выше случайного уровня</w:t>
            </w:r>
          </w:p>
        </w:tc>
      </w:tr>
      <w:tr>
        <w:trPr>
          <w:cantSplit w:val="true"/>
        </w:trPr>
        <w:tc>
          <w:tcPr>
            <w:tcW w:type="dxa" w:w="1587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H2</w:t>
            </w:r>
          </w:p>
        </w:tc>
        <w:tc>
          <w:tcPr>
            <w:tcW w:type="dxa" w:w="7824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На коротких репликах частеречные и символьные признаки устойчивее словарного богатства и читаемости</w:t>
            </w:r>
          </w:p>
        </w:tc>
      </w:tr>
      <w:tr>
        <w:trPr>
          <w:cantSplit w:val="true"/>
        </w:trPr>
        <w:tc>
          <w:tcPr>
            <w:tcW w:type="dxa" w:w="1587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H3</w:t>
            </w:r>
          </w:p>
        </w:tc>
        <w:tc>
          <w:tcPr>
            <w:tcW w:type="dxa" w:w="7824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LSA по всем словам отражает тему, а LSA по частям речи и функциональным словам — стиль</w:t>
            </w:r>
          </w:p>
        </w:tc>
      </w:tr>
      <w:tr>
        <w:trPr>
          <w:cantSplit w:val="true"/>
        </w:trPr>
        <w:tc>
          <w:tcPr>
            <w:tcW w:type="dxa" w:w="1587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H4</w:t>
            </w:r>
          </w:p>
        </w:tc>
        <w:tc>
          <w:tcPr>
            <w:tcW w:type="dxa" w:w="7824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Качество зависит от длины реплики</w:t>
            </w:r>
          </w:p>
        </w:tc>
      </w:tr>
      <w:tr>
        <w:trPr>
          <w:cantSplit w:val="true"/>
        </w:trPr>
        <w:tc>
          <w:tcPr>
            <w:tcW w:type="dxa" w:w="1587"/>
          </w:tcPr>
          <w:p>
            <w:pPr>
              <w:pStyle w:val="Compact"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H5</w:t>
            </w:r>
          </w:p>
        </w:tc>
        <w:tc>
          <w:tcPr>
            <w:tcW w:type="dxa" w:w="7824"/>
          </w:tcPr>
          <w:p>
            <w:pPr>
              <w:pStyle w:val="Compact"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Ошибки группируются вокруг персонажей со сходным возрастом, полом, ролью или видом</w:t>
            </w:r>
          </w:p>
        </w:tc>
      </w:tr>
    </w:tbl>
    <w:p>
      <w:pPr>
        <w:spacing w:before="0" w:after="0" w:line="240" w:lineRule="auto"/>
      </w:pPr>
      <w:r>
        <w:rPr>
          <w:sz w:val="8"/>
        </w:rPr>
      </w:r>
    </w:p>
    <w:bookmarkEnd w:id="22"/>
    <w:bookmarkStart w:id="23" w:name="формальная-постановка"/>
    <w:p>
      <w:pPr>
        <w:pStyle w:val="Heading2"/>
      </w:pPr>
      <w:r>
        <w:t xml:space="preserve">1.3. Формальная постановка</w:t>
      </w:r>
    </w:p>
    <w:p>
      <w:pPr>
        <w:pStyle w:val="FirstParagraph"/>
      </w:pPr>
      <w:r>
        <w:t xml:space="preserve">Пусть</w:t>
      </w:r>
      <w:r>
        <w:t xml:space="preserve"> </w:t>
      </w:r>
      <m:oMath>
        <m:r>
          <w:rPr>
            <w:rFonts w:ascii="Cambria Math" w:hAnsi="Cambria Math"/>
          </w:rPr>
          <m:t>D</m:t>
        </m:r>
        <m:r>
          <w:rPr>
            <w:rFonts w:ascii="Cambria Math" w:hAnsi="Cambria Math"/>
          </w:rPr>
          <m:rPr>
            <m:sty m:val="p"/>
          </m:rPr>
          <m:t>=</m:t>
        </m:r>
        <m:r>
          <w:rPr>
            <w:rFonts w:ascii="Cambria Math" w:hAnsi="Cambria Math"/>
          </w:rPr>
          <m:rPr>
            <m:sty m:val="p"/>
          </m:rPr>
          <m:t>{</m:t>
        </m:r>
        <m:r>
          <w:rPr>
            <w:rFonts w:ascii="Cambria Math" w:hAnsi="Cambria Math"/>
          </w:rPr>
          <m:rPr>
            <m:sty m:val="p"/>
          </m:rPr>
          <m:t>(</m:t>
        </m:r>
        <m:sSub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rPr>
            <m:sty m:val="p"/>
          </m:rPr>
          <m:t>,</m:t>
        </m:r>
        <m:sSub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rPr>
            <m:sty m:val="p"/>
          </m:rPr>
          <m:t>)</m:t>
        </m:r>
        <m:sSubSup>
          <m:e>
            <m:r>
              <w:rPr>
                <w:rFonts w:ascii="Cambria Math" w:hAnsi="Cambria Math"/>
              </w:rPr>
              <m:rPr>
                <m:sty m:val="p"/>
              </m:rPr>
              <m:t>}</m:t>
            </m:r>
          </m:e>
          <m:sub>
            <m:r>
              <w:rPr>
                <w:rFonts w:ascii="Cambria Math" w:hAnsi="Cambria Math"/>
              </w:rPr>
              <m:t>i</m:t>
            </m:r>
            <m:r>
              <w:rPr>
                <w:rFonts w:ascii="Cambria Math" w:hAnsi="Cambria Math"/>
              </w:rPr>
              <m:rPr>
                <m:sty m:val="p"/>
              </m:rPr>
              <m:t>=</m:t>
            </m:r>
            <m:r>
              <w:rPr>
                <w:rFonts w:ascii="Cambria Math" w:hAnsi="Cambria Math"/>
              </w:rPr>
              <m:t>1</m:t>
            </m:r>
          </m:sub>
          <m:sup>
            <m:r>
              <w:rPr>
                <w:rFonts w:ascii="Cambria Math" w:hAnsi="Cambria Math"/>
              </w:rPr>
              <m:t>n</m:t>
            </m:r>
          </m:sup>
        </m:sSubSup>
      </m:oMath>
      <w:r>
        <w:t xml:space="preserve"> </w:t>
      </w:r>
      <w:r>
        <w:t xml:space="preserve">— корпус, где</w:t>
      </w:r>
      <w:r>
        <w:t xml:space="preserve"> </w:t>
      </w:r>
      <m:oMath>
        <m:r>
          <w:rPr>
            <w:rFonts w:ascii="Cambria Math" w:hAnsi="Cambria Math"/>
          </w:rPr>
          <m:t>n</m:t>
        </m:r>
        <m:r>
          <w:rPr>
            <w:rFonts w:ascii="Cambria Math" w:hAnsi="Cambria Math"/>
          </w:rPr>
          <m:rPr>
            <m:sty m:val="p"/>
          </m:rPr>
          <m:t>=</m:t>
        </m:r>
        <m:r>
          <w:rPr>
            <w:rFonts w:ascii="Cambria Math" w:hAnsi="Cambria Math"/>
          </w:rPr>
          <m:t>2005</m:t>
        </m:r>
      </m:oMath>
      <w:r>
        <w:t xml:space="preserve">,</w:t>
      </w:r>
      <w:r>
        <w:t xml:space="preserve"> </w:t>
      </w:r>
      <m:oMath>
        <m:sSub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</m:oMath>
      <w:r>
        <w:t xml:space="preserve"> </w:t>
      </w:r>
      <w:r>
        <w:t xml:space="preserve">— одна реплика,</w:t>
      </w:r>
      <w:r>
        <w:t xml:space="preserve"> </w:t>
      </w:r>
      <m:oMath>
        <m:sSub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rPr>
            <m:sty m:val="p"/>
          </m:rPr>
          <m:t>∈</m:t>
        </m:r>
        <m:r>
          <w:rPr>
            <w:rFonts w:ascii="Cambria Math" w:hAnsi="Cambria Math"/>
          </w:rPr>
          <m:t>Y</m:t>
        </m:r>
      </m:oMath>
      <w:r>
        <w:t xml:space="preserve"> </w:t>
      </w:r>
      <w:r>
        <w:t xml:space="preserve">— имя персонажа,</w:t>
      </w:r>
      <w:r>
        <w:t xml:space="preserve"> </w:t>
      </w:r>
      <m:oMath>
        <m:r>
          <w:rPr>
            <w:rFonts w:ascii="Cambria Math" w:hAnsi="Cambria Math"/>
          </w:rPr>
          <m:rPr>
            <m:sty m:val="p"/>
          </m:rPr>
          <m:t>|</m:t>
        </m:r>
        <m:r>
          <w:rPr>
            <w:rFonts w:ascii="Cambria Math" w:hAnsi="Cambria Math"/>
          </w:rPr>
          <m:t>Y</m:t>
        </m:r>
        <m:r>
          <w:rPr>
            <w:rFonts w:ascii="Cambria Math" w:hAnsi="Cambria Math"/>
          </w:rPr>
          <m:rPr>
            <m:sty m:val="p"/>
          </m:rPr>
          <m:t>|</m:t>
        </m:r>
        <m:r>
          <w:rPr>
            <w:rFonts w:ascii="Cambria Math" w:hAnsi="Cambria Math"/>
          </w:rPr>
          <m:rPr>
            <m:sty m:val="p"/>
          </m:rPr>
          <m:t>=</m:t>
        </m:r>
        <m:r>
          <w:rPr>
            <w:rFonts w:ascii="Cambria Math" w:hAnsi="Cambria Math"/>
          </w:rPr>
          <m:t>34</m:t>
        </m:r>
      </m:oMath>
      <w:r>
        <w:t xml:space="preserve">. Каждый объект относится ровно к одному классу.</w:t>
      </w:r>
    </w:p>
    <w:p>
      <w:pPr>
        <w:pStyle w:val="BodyText"/>
      </w:pPr>
      <w:r>
        <w:t xml:space="preserve">Требуется построить классификатор</w:t>
      </w:r>
    </w:p>
    <w:p>
      <w:pPr>
        <w:pStyle w:val="BodyText"/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>f</m:t>
          </m:r>
          <m:r>
            <w:rPr>
              <w:rFonts w:ascii="Cambria Math" w:hAnsi="Cambria Math"/>
            </w:rPr>
            <m:rPr>
              <m:sty m:val="p"/>
            </m:rPr>
            <m:t>:</m:t>
          </m:r>
          <m:r>
            <w:rPr>
              <w:rFonts w:ascii="Cambria Math" w:hAnsi="Cambria Math"/>
            </w:rPr>
            <m:rPr>
              <m:sty m:val="p"/>
            </m:rPr>
            <m:t>Φ</m:t>
          </m:r>
          <m:r>
            <w:rPr>
              <w:rFonts w:ascii="Cambria Math" w:hAnsi="Cambria Math"/>
            </w:rPr>
            <m:rPr>
              <m:sty m:val="p"/>
            </m:rPr>
            <m:t>(</m:t>
          </m:r>
          <m:sSub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 w:hAnsi="Cambria Math"/>
            </w:rPr>
            <m:rPr>
              <m:sty m:val="p"/>
            </m:rPr>
            <m:t>)</m:t>
          </m:r>
          <m:r>
            <w:rPr>
              <w:rFonts w:ascii="Cambria Math" w:hAnsi="Cambria Math"/>
            </w:rPr>
            <m:rPr>
              <m:sty m:val="p"/>
            </m:rPr>
            <m:t>→</m:t>
          </m:r>
          <m:r>
            <w:rPr>
              <w:rFonts w:ascii="Cambria Math" w:hAnsi="Cambria Math"/>
            </w:rPr>
            <m:t>Y</m:t>
          </m:r>
          <m:r>
            <w:rPr>
              <w:rFonts w:ascii="Cambria Math" w:hAnsi="Cambria Math"/>
            </w:rP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где</w:t>
      </w:r>
      <w:r>
        <w:t xml:space="preserve"> </w:t>
      </w:r>
      <m:oMath>
        <m:r>
          <w:rPr>
            <w:rFonts w:ascii="Cambria Math" w:hAnsi="Cambria Math"/>
          </w:rPr>
          <m:rPr>
            <m:sty m:val="p"/>
          </m:rPr>
          <m:t>Φ</m:t>
        </m:r>
        <m:r>
          <w:rPr>
            <w:rFonts w:ascii="Cambria Math" w:hAnsi="Cambria Math"/>
          </w:rPr>
          <m:rPr>
            <m:sty m:val="p"/>
          </m:rPr>
          <m:t>(</m:t>
        </m:r>
        <m:sSub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rPr>
            <m:sty m:val="p"/>
          </m:rPr>
          <m:t>)</m:t>
        </m:r>
      </m:oMath>
      <w:r>
        <w:t xml:space="preserve"> </w:t>
      </w:r>
      <w:r>
        <w:t xml:space="preserve">— вектор признаков реплики. Качество оценивается</w:t>
      </w:r>
      <w:r>
        <w:t xml:space="preserve"> </w:t>
      </w:r>
      <w:r>
        <w:t xml:space="preserve">макро-усреднённой F-мерой:</w:t>
      </w:r>
    </w:p>
    <w:p>
      <w:pPr>
        <w:pStyle w:val="BodyText"/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rPr>
              <m:sty m:val="p"/>
            </m:rPr>
            <m:t>macroF1</m:t>
          </m:r>
          <m:r>
            <w:rPr>
              <w:rFonts w:ascii="Cambria Math" w:hAnsi="Cambria Math"/>
            </w:rPr>
            <m:rPr>
              <m:sty m:val="p"/>
            </m:rPr>
            <m:t>=</m:t>
          </m:r>
          <m:f>
            <m:fPr>
              <m:type m:val="bar"/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rPr>
                  <m:sty m:val="p"/>
                </m:rPr>
                <m:t>|</m:t>
              </m:r>
              <m:r>
                <w:rPr>
                  <w:rFonts w:ascii="Cambria Math" w:hAnsi="Cambria Math"/>
                </w:rPr>
                <m:t>Y</m:t>
              </m:r>
              <m:r>
                <w:rPr>
                  <w:rFonts w:ascii="Cambria Math" w:hAnsi="Cambria Math"/>
                </w:rPr>
                <m:rPr>
                  <m:sty m:val="p"/>
                </m:rPr>
                <m:t>|</m:t>
              </m:r>
            </m:den>
          </m:f>
          <m:nary>
            <m:naryPr>
              <m:chr m:val="∑"/>
              <m:limLoc m:val="undOvr"/>
              <m:subHide m:val="off"/>
              <m:supHide m:val="on"/>
            </m:naryPr>
            <m:sub>
              <m:r>
                <w:rPr>
                  <w:rFonts w:ascii="Cambria Math" w:hAnsi="Cambria Math"/>
                </w:rPr>
                <m:t>c</m:t>
              </m:r>
              <m:r>
                <w:rPr>
                  <w:rFonts w:ascii="Cambria Math" w:hAnsi="Cambria Math"/>
                </w:rPr>
                <m:rPr>
                  <m:sty m:val="p"/>
                </m:rPr>
                <m:t>∈</m:t>
              </m:r>
              <m:r>
                <w:rPr>
                  <w:rFonts w:ascii="Cambria Math" w:hAnsi="Cambria Math"/>
                </w:rPr>
                <m:t>Y</m:t>
              </m:r>
            </m:sub>
            <m:sup>
              <m:r>
                <w:rPr>
                  <w:rFonts w:ascii="Cambria Math" w:hAnsi="Cambria Math"/>
                </w:rPr>
                <m:t>​</m:t>
              </m:r>
            </m:sup>
            <m:e>
              <m:f>
                <m:fPr>
                  <m:type m:val="bar"/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  <m:sSub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c</m:t>
                      </m:r>
                    </m:sub>
                  </m:sSub>
                  <m:sSub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c</m:t>
                      </m:r>
                    </m:sub>
                  </m:sSub>
                </m:num>
                <m:den>
                  <m:sSub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c</m:t>
                      </m:r>
                    </m:sub>
                  </m:sSub>
                  <m:r>
                    <w:rPr>
                      <w:rFonts w:ascii="Cambria Math" w:hAnsi="Cambria Math"/>
                    </w:rPr>
                    <m:rPr>
                      <m:sty m:val="p"/>
                    </m:rPr>
                    <m:t>+</m:t>
                  </m:r>
                  <m:sSub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c</m:t>
                      </m:r>
                    </m:sub>
                  </m:sSub>
                </m:den>
              </m:f>
            </m:e>
          </m:nary>
          <m:r>
            <w:rPr>
              <w:rFonts w:ascii="Cambria Math" w:hAnsi="Cambria Math"/>
            </w:rP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Макро-усреднение выбрано потому, что все 34 персонажа важны одинаково,</w:t>
      </w:r>
      <w:r>
        <w:t xml:space="preserve"> </w:t>
      </w:r>
      <w:r>
        <w:t xml:space="preserve">а классы неравномерны.</w:t>
      </w:r>
    </w:p>
    <w:bookmarkEnd w:id="23"/>
    <w:bookmarkEnd w:id="24"/>
    <w:bookmarkStart w:id="39" w:name="корпус"/>
    <w:p>
      <w:pPr>
        <w:pStyle w:val="Heading1"/>
      </w:pPr>
      <w:r>
        <w:t xml:space="preserve">2. Корпус</w:t>
      </w:r>
    </w:p>
    <w:bookmarkStart w:id="25" w:name="источник-и-единица-анализа"/>
    <w:p>
      <w:pPr>
        <w:pStyle w:val="Heading2"/>
      </w:pPr>
      <w:r>
        <w:t xml:space="preserve">2.1. Источник и единица анализа</w:t>
      </w:r>
    </w:p>
    <w:p>
      <w:pPr>
        <w:pStyle w:val="FirstParagraph"/>
      </w:pPr>
      <w:r>
        <w:t xml:space="preserve">Корпус собран из диалогов игры Stardew Valley. Единица анализа — одна</w:t>
      </w:r>
      <w:r>
        <w:t xml:space="preserve"> </w:t>
      </w:r>
      <w:r>
        <w:t xml:space="preserve">реплика персонажа; тексты на английском языке. Метка — имя говорящего,</w:t>
      </w:r>
      <w:r>
        <w:t xml:space="preserve"> </w:t>
      </w:r>
      <w:r>
        <w:t xml:space="preserve">определённое по игровым диалогам и проверенное вручную.</w:t>
      </w:r>
    </w:p>
    <w:p>
      <w:pPr>
        <w:pStyle w:val="BodyText"/>
      </w:pPr>
      <w:r>
        <w:t xml:space="preserve">Метаданные о поле, возрасте, виде и роли персонажа хранятся отдельно и</w:t>
      </w:r>
      <w:r>
        <w:t xml:space="preserve"> </w:t>
      </w:r>
      <w:r>
        <w:t xml:space="preserve">используются только для анализа ошибок. В признаки классификатора они не</w:t>
      </w:r>
      <w:r>
        <w:t xml:space="preserve"> </w:t>
      </w:r>
      <w:r>
        <w:t xml:space="preserve">подаются, чтобы не подменять стилометрическую задачу демографической.</w:t>
      </w:r>
    </w:p>
    <w:bookmarkEnd w:id="25"/>
    <w:bookmarkStart w:id="26" w:name="сбор-и-разметка"/>
    <w:p>
      <w:pPr>
        <w:pStyle w:val="Heading2"/>
      </w:pPr>
      <w:r>
        <w:t xml:space="preserve">2.2. Сбор и разметка</w:t>
      </w:r>
    </w:p>
    <w:p>
      <w:pPr>
        <w:pStyle w:val="FirstParagraph"/>
      </w:pPr>
      <w:r>
        <w:t xml:space="preserve">Правила формирования корпуса:</w:t>
      </w:r>
    </w:p>
    <w:p>
      <w:pPr>
        <w:pStyle w:val="Compact"/>
        <w:numPr>
          <w:ilvl w:val="0"/>
          <w:numId w:val="1001"/>
        </w:numPr>
      </w:pPr>
      <w:r>
        <w:t xml:space="preserve">Из игровых диалогов извлекаются реплики персонажей.</w:t>
      </w:r>
    </w:p>
    <w:p>
      <w:pPr>
        <w:pStyle w:val="Compact"/>
        <w:numPr>
          <w:ilvl w:val="0"/>
          <w:numId w:val="1001"/>
        </w:numPr>
      </w:pPr>
      <w:r>
        <w:t xml:space="preserve">Каждая реплика становится отдельным объектом.</w:t>
      </w:r>
    </w:p>
    <w:p>
      <w:pPr>
        <w:pStyle w:val="Compact"/>
        <w:numPr>
          <w:ilvl w:val="0"/>
          <w:numId w:val="1001"/>
        </w:numPr>
      </w:pPr>
      <w:r>
        <w:t xml:space="preserve">Метка — имя говорящего; один объект относится ровно к одному классу.</w:t>
      </w:r>
    </w:p>
    <w:p>
      <w:pPr>
        <w:pStyle w:val="Compact"/>
        <w:numPr>
          <w:ilvl w:val="0"/>
          <w:numId w:val="1001"/>
        </w:numPr>
      </w:pPr>
      <w:r>
        <w:t xml:space="preserve">Проводится ручная проверка соответствия реплики и метки.</w:t>
      </w:r>
    </w:p>
    <w:p>
      <w:pPr>
        <w:pStyle w:val="Compact"/>
        <w:numPr>
          <w:ilvl w:val="0"/>
          <w:numId w:val="1001"/>
        </w:numPr>
      </w:pPr>
      <w:r>
        <w:t xml:space="preserve">Метаданные персонажей ведутся отдельной таблицей.</w:t>
      </w:r>
    </w:p>
    <w:p>
      <w:pPr>
        <w:pStyle w:val="Compact"/>
        <w:numPr>
          <w:ilvl w:val="0"/>
          <w:numId w:val="1001"/>
        </w:numPr>
      </w:pPr>
      <w:r>
        <w:t xml:space="preserve">Служебные метки игрового движка (</w:t>
      </w:r>
      <w:r>
        <w:rPr>
          <w:rStyle w:val="VerbatimChar"/>
        </w:rPr>
        <w:t xml:space="preserve">&lt;PLAYER&gt;</w:t>
      </w:r>
      <w:r>
        <w:t xml:space="preserve">,</w:t>
      </w:r>
      <w:r>
        <w:t xml:space="preserve"> </w:t>
      </w:r>
      <w:r>
        <w:rPr>
          <w:rStyle w:val="VerbatimChar"/>
        </w:rPr>
        <w:t xml:space="preserve">&lt;FARM&gt;</w:t>
      </w:r>
      <w:r>
        <w:t xml:space="preserve">,</w:t>
      </w:r>
      <w:r>
        <w:t xml:space="preserve"> </w:t>
      </w:r>
      <w:r>
        <w:rPr>
          <w:rStyle w:val="VerbatimChar"/>
        </w:rPr>
        <w:t xml:space="preserve">&lt;PET&gt;</w:t>
      </w:r>
      <w:r>
        <w:t xml:space="preserve">,</w:t>
      </w:r>
      <w:r>
        <w:t xml:space="preserve"> </w:t>
      </w:r>
      <w:r>
        <w:rPr>
          <w:rStyle w:val="VerbatimChar"/>
        </w:rPr>
        <w:t xml:space="preserve">&lt;SPOUSE&gt;</w:t>
      </w:r>
      <w:r>
        <w:t xml:space="preserve">,</w:t>
      </w:r>
      <w:r>
        <w:t xml:space="preserve"> </w:t>
      </w:r>
      <w:r>
        <w:rPr>
          <w:rStyle w:val="VerbatimChar"/>
        </w:rPr>
        <w:t xml:space="preserve">&lt;TIME&gt;</w:t>
      </w:r>
      <w:r>
        <w:t xml:space="preserve">,</w:t>
      </w:r>
      <w:r>
        <w:t xml:space="preserve"> </w:t>
      </w:r>
      <w:r>
        <w:rPr>
          <w:rStyle w:val="VerbatimChar"/>
        </w:rPr>
        <w:t xml:space="preserve">&lt;NOUN&gt;</w:t>
      </w:r>
      <w:r>
        <w:t xml:space="preserve">,</w:t>
      </w:r>
      <w:r>
        <w:t xml:space="preserve"> </w:t>
      </w:r>
      <w:r>
        <w:rPr>
          <w:rStyle w:val="VerbatimChar"/>
        </w:rPr>
        <w:t xml:space="preserve">&lt;NAME&gt;</w:t>
      </w:r>
      <w:r>
        <w:t xml:space="preserve">) заменяются нейтральными словами;</w:t>
      </w:r>
      <w:r>
        <w:t xml:space="preserve"> </w:t>
      </w:r>
      <w:r>
        <w:t xml:space="preserve">их количество сохраняется отдельным признаком.</w:t>
      </w:r>
    </w:p>
    <w:p>
      <w:pPr>
        <w:pStyle w:val="FirstParagraph"/>
      </w:pPr>
      <w:r>
        <w:t xml:space="preserve">Корпус хранится в CSV с разделителем</w:t>
      </w:r>
      <w:r>
        <w:t xml:space="preserve"> </w:t>
      </w:r>
      <w:r>
        <w:rPr>
          <w:rStyle w:val="VerbatimChar"/>
        </w:rPr>
        <w:t xml:space="preserve">;</w:t>
      </w:r>
      <w:r>
        <w:t xml:space="preserve"> </w:t>
      </w:r>
      <w:r>
        <w:t xml:space="preserve">в кодировке cp1251; обязательные</w:t>
      </w:r>
      <w:r>
        <w:t xml:space="preserve"> </w:t>
      </w:r>
      <w:r>
        <w:t xml:space="preserve">колонки — «Реплика» и «Персонаж». Метаданные персонажей ведутся отдельным</w:t>
      </w:r>
      <w:r>
        <w:t xml:space="preserve"> </w:t>
      </w:r>
      <w:r>
        <w:t xml:space="preserve">XLSX-файлом. Такое разделение позволяет менять признаки, не затрагивая</w:t>
      </w:r>
      <w:r>
        <w:t xml:space="preserve"> </w:t>
      </w:r>
      <w:r>
        <w:t xml:space="preserve">разметку, и проверять корпус независимо от моделей.</w:t>
      </w:r>
    </w:p>
    <w:bookmarkEnd w:id="26"/>
    <w:bookmarkStart w:id="27" w:name="очистка-и-шум"/>
    <w:p>
      <w:pPr>
        <w:pStyle w:val="Heading2"/>
      </w:pPr>
      <w:r>
        <w:t xml:space="preserve">2.3. Очистка и шум</w:t>
      </w:r>
    </w:p>
    <w:p>
      <w:pPr>
        <w:pStyle w:val="FirstParagraph"/>
      </w:pPr>
      <w:r>
        <w:t xml:space="preserve">Выполнялась минимальная нормализация:</w:t>
      </w:r>
    </w:p>
    <w:p>
      <w:pPr>
        <w:pStyle w:val="Compact"/>
        <w:numPr>
          <w:ilvl w:val="0"/>
          <w:numId w:val="1002"/>
        </w:numPr>
      </w:pPr>
      <w:r>
        <w:t xml:space="preserve">Unicode-очистка: разные варианты кавычек, тире, многоточий и пробелов</w:t>
      </w:r>
      <w:r>
        <w:t xml:space="preserve"> </w:t>
      </w:r>
      <w:r>
        <w:t xml:space="preserve">приводятся к единому виду;</w:t>
      </w:r>
    </w:p>
    <w:p>
      <w:pPr>
        <w:pStyle w:val="Compact"/>
        <w:numPr>
          <w:ilvl w:val="0"/>
          <w:numId w:val="1002"/>
        </w:numPr>
      </w:pPr>
      <w:r>
        <w:t xml:space="preserve">замена плейсхолдеров нейтральными словами;</w:t>
      </w:r>
    </w:p>
    <w:p>
      <w:pPr>
        <w:pStyle w:val="Compact"/>
        <w:numPr>
          <w:ilvl w:val="0"/>
          <w:numId w:val="1002"/>
        </w:numPr>
      </w:pPr>
      <w:r>
        <w:t xml:space="preserve">токенизация и разбиение на предложения средствами NLTK;</w:t>
      </w:r>
    </w:p>
    <w:p>
      <w:pPr>
        <w:pStyle w:val="Compact"/>
        <w:numPr>
          <w:ilvl w:val="0"/>
          <w:numId w:val="1002"/>
        </w:numPr>
      </w:pPr>
      <w:r>
        <w:t xml:space="preserve">частеречная разметка Penn Treebank с переводом в Universal POS.</w:t>
      </w:r>
    </w:p>
    <w:p>
      <w:pPr>
        <w:pStyle w:val="FirstParagraph"/>
      </w:pPr>
      <w:r>
        <w:t xml:space="preserve">Не удалялись:</w:t>
      </w:r>
    </w:p>
    <w:p>
      <w:pPr>
        <w:pStyle w:val="Compact"/>
        <w:numPr>
          <w:ilvl w:val="0"/>
          <w:numId w:val="1003"/>
        </w:numPr>
      </w:pPr>
      <w:r>
        <w:t xml:space="preserve">пунктуация;</w:t>
      </w:r>
    </w:p>
    <w:p>
      <w:pPr>
        <w:pStyle w:val="Compact"/>
        <w:numPr>
          <w:ilvl w:val="0"/>
          <w:numId w:val="1003"/>
        </w:numPr>
      </w:pPr>
      <w:r>
        <w:t xml:space="preserve">регистр;</w:t>
      </w:r>
    </w:p>
    <w:p>
      <w:pPr>
        <w:pStyle w:val="Compact"/>
        <w:numPr>
          <w:ilvl w:val="0"/>
          <w:numId w:val="1003"/>
        </w:numPr>
      </w:pPr>
      <w:r>
        <w:t xml:space="preserve">стоп-слова;</w:t>
      </w:r>
    </w:p>
    <w:p>
      <w:pPr>
        <w:pStyle w:val="Compact"/>
        <w:numPr>
          <w:ilvl w:val="0"/>
          <w:numId w:val="1003"/>
        </w:numPr>
      </w:pPr>
      <w:r>
        <w:t xml:space="preserve">короткие реплики, оставшиеся после ручной фильтрации.</w:t>
      </w:r>
    </w:p>
    <w:p>
      <w:pPr>
        <w:pStyle w:val="FirstParagraph"/>
      </w:pPr>
      <w:r>
        <w:t xml:space="preserve">Пунктуация, регистр и служебные слова рассматриваются как стилометрический</w:t>
      </w:r>
      <w:r>
        <w:t xml:space="preserve"> </w:t>
      </w:r>
      <w:r>
        <w:t xml:space="preserve">сигнал, а не как шум.</w:t>
      </w:r>
    </w:p>
    <w:p>
      <w:pPr>
        <w:pStyle w:val="BodyText"/>
      </w:pPr>
      <w:r>
        <w:t xml:space="preserve">Шумом считались:</w:t>
      </w:r>
    </w:p>
    <w:p>
      <w:pPr>
        <w:pStyle w:val="Compact"/>
        <w:numPr>
          <w:ilvl w:val="0"/>
          <w:numId w:val="1004"/>
        </w:numPr>
      </w:pPr>
      <w:r>
        <w:t xml:space="preserve">точные дубликаты;</w:t>
      </w:r>
    </w:p>
    <w:p>
      <w:pPr>
        <w:pStyle w:val="Compact"/>
        <w:numPr>
          <w:ilvl w:val="0"/>
          <w:numId w:val="1004"/>
        </w:numPr>
      </w:pPr>
      <w:r>
        <w:t xml:space="preserve">технические артефакты;</w:t>
      </w:r>
    </w:p>
    <w:p>
      <w:pPr>
        <w:pStyle w:val="Compact"/>
        <w:numPr>
          <w:ilvl w:val="0"/>
          <w:numId w:val="1004"/>
        </w:numPr>
      </w:pPr>
      <w:r>
        <w:t xml:space="preserve">общие короткие формулы;</w:t>
      </w:r>
    </w:p>
    <w:p>
      <w:pPr>
        <w:pStyle w:val="Compact"/>
        <w:numPr>
          <w:ilvl w:val="0"/>
          <w:numId w:val="1004"/>
        </w:numPr>
      </w:pPr>
      <w:r>
        <w:t xml:space="preserve">плейсхолдеры игрового движка.</w:t>
      </w:r>
    </w:p>
    <w:p>
      <w:pPr>
        <w:pStyle w:val="FirstParagraph"/>
      </w:pPr>
      <w:r>
        <w:t xml:space="preserve">Корпус прошёл ручную фильтрацию: короткие и общие фразы удалены. Точные</w:t>
      </w:r>
      <w:r>
        <w:t xml:space="preserve"> </w:t>
      </w:r>
      <w:r>
        <w:t xml:space="preserve">правила этой фильтрации не сохранились, поэтому исходное распределение</w:t>
      </w:r>
      <w:r>
        <w:t xml:space="preserve"> </w:t>
      </w:r>
      <w:r>
        <w:t xml:space="preserve">восстановить нельзя. Это ограничение зафиксировано в выводах.</w:t>
      </w:r>
    </w:p>
    <w:bookmarkEnd w:id="27"/>
    <w:bookmarkStart w:id="37" w:name="характеристики-корпуса"/>
    <w:p>
      <w:pPr>
        <w:pStyle w:val="Heading2"/>
      </w:pPr>
      <w:r>
        <w:t xml:space="preserve">2.4. Характеристики корпуса</w:t>
      </w:r>
    </w:p>
    <w:p>
      <w:pPr>
        <w:pStyle w:val="TableCaption"/>
        <w:keepNext/>
        <w:spacing w:before="200" w:after="80"/>
        <w:ind w:firstLine="0"/>
      </w:pPr>
      <w:r>
        <w:rPr>
          <w:rFonts w:ascii="Times New Roman" w:hAnsi="Times New Roman" w:eastAsia="Times New Roman"/>
          <w:b/>
          <w:color w:val="1A1A1A"/>
          <w:sz w:val="20"/>
        </w:rPr>
        <w:t>Таблица 2. Характеристики корпуса</w:t>
      </w:r>
    </w:p>
    <w:tbl>
      <w:tblPr>
        <w:tblStyle w:val="Table"/>
        <w:tblW w:type="pct" w:w="5000"/>
        <w:jc w:val="center"/>
        <w:tblLayout w:type="fixed"/>
        <w:tblLook w:firstRow="1" w:lastRow="0" w:firstColumn="0" w:lastColumn="0" w:noHBand="0" w:noVBand="0" w:val="0020"/>
        <w:tblBorders>
          <w:top w:val="single" w:sz="4" w:space="0" w:color="B8A88F"/>
          <w:left w:val="single" w:sz="4" w:space="0" w:color="B8A88F"/>
          <w:bottom w:val="single" w:sz="4" w:space="0" w:color="B8A88F"/>
          <w:right w:val="single" w:sz="4" w:space="0" w:color="B8A88F"/>
          <w:insideH w:val="single" w:sz="4" w:space="0" w:color="B8A88F"/>
          <w:insideV w:val="single" w:sz="4" w:space="0" w:color="B8A88F"/>
        </w:tblBorders>
        <w:tblCellMar>
          <w:top w:w="60" w:type="dxa"/>
          <w:left w:w="90" w:type="dxa"/>
          <w:bottom w:w="60" w:type="dxa"/>
          <w:right w:w="90" w:type="dxa"/>
        </w:tblCellMar>
        <w:tblW w:type="pct" w:w="100%"/>
        <w:tblLayout w:type="fixed"/>
      </w:tblPr>
      <w:tblGrid>
        <w:gridCol w:w="6576"/>
        <w:gridCol w:w="2835"/>
      </w:tblGrid>
      <w:tr>
        <w:trPr>
          <w:tblHeader w:val="on"/>
          <w:tblHeader w:val="true"/>
          <w:cantSplit w:val="true"/>
        </w:trPr>
        <w:tc>
          <w:tcPr>
            <w:tcW w:type="dxa" w:w="6576"/>
            <w:shd w:val="clear" w:color="auto" w:fill="F1E8D8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/>
                <w:sz w:val="20"/>
              </w:rPr>
              <w:t xml:space="preserve">Показатель</w:t>
            </w:r>
          </w:p>
        </w:tc>
        <w:tc>
          <w:tcPr>
            <w:tcW w:type="dxa" w:w="2835"/>
            <w:shd w:val="clear" w:color="auto" w:fill="F1E8D8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/>
                <w:sz w:val="20"/>
              </w:rPr>
              <w:t xml:space="preserve">Значение</w:t>
            </w:r>
          </w:p>
        </w:tc>
      </w:tr>
      <w:tr>
        <w:trPr>
          <w:cantSplit w:val="true"/>
        </w:trPr>
        <w:tc>
          <w:tcPr>
            <w:tcW w:type="dxa" w:w="6576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Реплик</w:t>
            </w:r>
          </w:p>
        </w:tc>
        <w:tc>
          <w:tcPr>
            <w:tcW w:type="dxa" w:w="2835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2005</w:t>
            </w:r>
          </w:p>
        </w:tc>
      </w:tr>
      <w:tr>
        <w:trPr>
          <w:cantSplit w:val="true"/>
        </w:trPr>
        <w:tc>
          <w:tcPr>
            <w:tcW w:type="dxa" w:w="6576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Персонажей</w:t>
            </w:r>
          </w:p>
        </w:tc>
        <w:tc>
          <w:tcPr>
            <w:tcW w:type="dxa" w:w="2835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34</w:t>
            </w:r>
          </w:p>
        </w:tc>
      </w:tr>
      <w:tr>
        <w:trPr>
          <w:cantSplit w:val="true"/>
        </w:trPr>
        <w:tc>
          <w:tcPr>
            <w:tcW w:type="dxa" w:w="6576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Словоупотреблений</w:t>
            </w:r>
          </w:p>
        </w:tc>
        <w:tc>
          <w:tcPr>
            <w:tcW w:type="dxa" w:w="2835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38 207</w:t>
            </w:r>
          </w:p>
        </w:tc>
      </w:tr>
      <w:tr>
        <w:trPr>
          <w:cantSplit w:val="true"/>
        </w:trPr>
        <w:tc>
          <w:tcPr>
            <w:tcW w:type="dxa" w:w="6576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Средняя длина реплики</w:t>
            </w:r>
          </w:p>
        </w:tc>
        <w:tc>
          <w:tcPr>
            <w:tcW w:type="dxa" w:w="2835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19,1 слова</w:t>
            </w:r>
          </w:p>
        </w:tc>
      </w:tr>
      <w:tr>
        <w:trPr>
          <w:cantSplit w:val="true"/>
        </w:trPr>
        <w:tc>
          <w:tcPr>
            <w:tcW w:type="dxa" w:w="6576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Медиана длины</w:t>
            </w:r>
          </w:p>
        </w:tc>
        <w:tc>
          <w:tcPr>
            <w:tcW w:type="dxa" w:w="2835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17 слов</w:t>
            </w:r>
          </w:p>
        </w:tc>
      </w:tr>
      <w:tr>
        <w:trPr>
          <w:cantSplit w:val="true"/>
        </w:trPr>
        <w:tc>
          <w:tcPr>
            <w:tcW w:type="dxa" w:w="6576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Минимум / максимум</w:t>
            </w:r>
          </w:p>
        </w:tc>
        <w:tc>
          <w:tcPr>
            <w:tcW w:type="dxa" w:w="2835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3 / 78 слов</w:t>
            </w:r>
          </w:p>
        </w:tc>
      </w:tr>
      <w:tr>
        <w:trPr>
          <w:cantSplit w:val="true"/>
        </w:trPr>
        <w:tc>
          <w:tcPr>
            <w:tcW w:type="dxa" w:w="6576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Классы</w:t>
            </w:r>
          </w:p>
        </w:tc>
        <w:tc>
          <w:tcPr>
            <w:tcW w:type="dxa" w:w="2835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15–139 реплик</w:t>
            </w:r>
          </w:p>
        </w:tc>
      </w:tr>
      <w:tr>
        <w:trPr>
          <w:cantSplit w:val="true"/>
        </w:trPr>
        <w:tc>
          <w:tcPr>
            <w:tcW w:type="dxa" w:w="6576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Точные дубли реплик</w:t>
            </w:r>
          </w:p>
        </w:tc>
        <w:tc>
          <w:tcPr>
            <w:tcW w:type="dxa" w:w="2835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</w:t>
            </w:r>
          </w:p>
        </w:tc>
      </w:tr>
      <w:tr>
        <w:trPr>
          <w:cantSplit w:val="true"/>
        </w:trPr>
        <w:tc>
          <w:tcPr>
            <w:tcW w:type="dxa" w:w="6576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Почти-дубли (косинусная близость ≥ 0,8)</w:t>
            </w:r>
          </w:p>
        </w:tc>
        <w:tc>
          <w:tcPr>
            <w:tcW w:type="dxa" w:w="2835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13 пар, все внутри одного класса</w:t>
            </w:r>
          </w:p>
        </w:tc>
      </w:tr>
      <w:tr>
        <w:trPr>
          <w:cantSplit w:val="true"/>
        </w:trPr>
        <w:tc>
          <w:tcPr>
            <w:tcW w:type="dxa" w:w="6576"/>
          </w:tcPr>
          <w:p>
            <w:pPr>
              <w:pStyle w:val="Compact"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Реплик с плейсхолдерами</w:t>
            </w:r>
          </w:p>
        </w:tc>
        <w:tc>
          <w:tcPr>
            <w:tcW w:type="dxa" w:w="2835"/>
          </w:tcPr>
          <w:p>
            <w:pPr>
              <w:pStyle w:val="Compact"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172</w:t>
            </w:r>
          </w:p>
        </w:tc>
      </w:tr>
    </w:tbl>
    <w:p>
      <w:pPr>
        <w:spacing w:before="0" w:after="0" w:line="240" w:lineRule="auto"/>
      </w:pPr>
      <w:r>
        <w:rPr>
          <w:sz w:val="8"/>
        </w:rPr>
      </w:r>
    </w:p>
    <w:p>
      <w:pPr>
        <w:pStyle w:val="CaptionedFigure"/>
      </w:pPr>
      <w:r>
        <w:drawing>
          <wp:inline>
            <wp:extent cx="3733800" cy="3515083"/>
            <wp:effectExtent b="0" l="0" r="0" t="0"/>
            <wp:docPr descr="Распределение числа реплик по персонажам" title="" id="29" name="Picture"/>
            <a:graphic>
              <a:graphicData uri="http://schemas.openxmlformats.org/drawingml/2006/picture">
                <pic:pic>
                  <pic:nvPicPr>
                    <pic:cNvPr descr="figures/replics-count.png" id="30" name="Picture"/>
                    <pic:cNvPicPr>
                      <a:picLocks noChangeArrowheads="1"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351508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rPr>
          <w:rFonts w:ascii="Times New Roman" w:hAnsi="Times New Roman" w:eastAsia="Times New Roman"/>
          <w:i/>
          <w:color w:val="555555"/>
          <w:sz w:val="20"/>
        </w:rPr>
        <w:t>Рисунок 1. Распределение числа реплик по персонажам</w:t>
      </w:r>
    </w:p>
    <w:p>
      <w:pPr>
        <w:pStyle w:val="CaptionedFigure"/>
      </w:pPr>
      <w:r>
        <w:drawing>
          <wp:inline>
            <wp:extent cx="4373880" cy="4115423"/>
            <wp:effectExtent b="0" l="0" r="0" t="0"/>
            <wp:docPr descr="Медианная длина предложения в символах по персонажам" title="" id="32" name="Picture"/>
            <a:graphic>
              <a:graphicData uri="http://schemas.openxmlformats.org/drawingml/2006/picture">
                <pic:pic>
                  <pic:nvPicPr>
                    <pic:cNvPr descr="figures/median.png" id="33" name="Picture"/>
                    <pic:cNvPicPr>
                      <a:picLocks noChangeArrowheads="1"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3880" cy="41154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rPr>
          <w:rFonts w:ascii="Times New Roman" w:hAnsi="Times New Roman" w:eastAsia="Times New Roman"/>
          <w:i/>
          <w:color w:val="555555"/>
          <w:sz w:val="20"/>
        </w:rPr>
        <w:t>Рисунок 2. Медианная длина предложения в символах по персонажам</w:t>
      </w:r>
    </w:p>
    <w:p>
      <w:pPr>
        <w:pStyle w:val="CaptionedFigure"/>
      </w:pPr>
      <w:r>
        <w:drawing>
          <wp:inline>
            <wp:extent cx="4907280" cy="3023704"/>
            <wp:effectExtent b="0" l="0" r="0" t="0"/>
            <wp:docPr descr="Персонажи корпуса" title="" id="35" name="Picture"/>
            <a:graphic>
              <a:graphicData uri="http://schemas.openxmlformats.org/drawingml/2006/picture">
                <pic:pic>
                  <pic:nvPicPr>
                    <pic:cNvPr descr="figures/characters.png" id="36" name="Picture"/>
                    <pic:cNvPicPr>
                      <a:picLocks noChangeArrowheads="1"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302370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rPr>
          <w:rFonts w:ascii="Times New Roman" w:hAnsi="Times New Roman" w:eastAsia="Times New Roman"/>
          <w:i/>
          <w:color w:val="555555"/>
          <w:sz w:val="20"/>
        </w:rPr>
        <w:t>Рисунок 3. Персонажи корпуса</w:t>
      </w:r>
    </w:p>
    <w:p>
      <w:pPr>
        <w:pStyle w:val="BodyText"/>
      </w:pPr>
      <w:r>
        <w:t xml:space="preserve">Классы неравномерны: максимум — Abigail (139 реплик), минимум — Mister Qi</w:t>
      </w:r>
      <w:r>
        <w:t xml:space="preserve"> </w:t>
      </w:r>
      <w:r>
        <w:t xml:space="preserve">(15 реплик). Разница почти десятикратная. Поэтому доля правильных ответов</w:t>
      </w:r>
      <w:r>
        <w:t xml:space="preserve"> </w:t>
      </w:r>
      <w:r>
        <w:t xml:space="preserve">может вводить в заблуждение: модель, всегда выбирающая частый класс, получает</w:t>
      </w:r>
      <w:r>
        <w:t xml:space="preserve"> </w:t>
      </w:r>
      <w:r>
        <w:t xml:space="preserve">заметную accuracy, но низкую macro-F1.</w:t>
      </w:r>
    </w:p>
    <w:bookmarkEnd w:id="37"/>
    <w:bookmarkStart w:id="38" w:name="соответствие-формальным-требованиям"/>
    <w:p>
      <w:pPr>
        <w:pStyle w:val="Heading2"/>
      </w:pPr>
      <w:r>
        <w:t xml:space="preserve">2.5. Соответствие формальным требованиям</w:t>
      </w:r>
    </w:p>
    <w:p>
      <w:pPr>
        <w:pStyle w:val="FirstParagraph"/>
      </w:pPr>
      <w:r>
        <w:t xml:space="preserve">Задание предусматривает не менее 90 текстов объёмом не менее 30 предложений</w:t>
      </w:r>
      <w:r>
        <w:t xml:space="preserve"> </w:t>
      </w:r>
      <w:r>
        <w:t xml:space="preserve">и примерно равные классы. В данном корпусе единица анализа — реплика; она</w:t>
      </w:r>
      <w:r>
        <w:t xml:space="preserve"> </w:t>
      </w:r>
      <w:r>
        <w:t xml:space="preserve">короче формального «текста» и содержит в среднем 19 слов. По согласованию с</w:t>
      </w:r>
      <w:r>
        <w:t xml:space="preserve"> </w:t>
      </w:r>
      <w:r>
        <w:t xml:space="preserve">преподавателем эксперимент выполнен на уровне реплик: это позволяет</w:t>
      </w:r>
      <w:r>
        <w:t xml:space="preserve"> </w:t>
      </w:r>
      <w:r>
        <w:t xml:space="preserve">использовать все 2005 объектов и корректно поставить задачу для коротких</w:t>
      </w:r>
      <w:r>
        <w:t xml:space="preserve"> </w:t>
      </w:r>
      <w:r>
        <w:t xml:space="preserve">игровых реплик. Классы не равны по объёму; для компенсации использованы</w:t>
      </w:r>
      <w:r>
        <w:t xml:space="preserve"> </w:t>
      </w:r>
      <w:r>
        <w:t xml:space="preserve">веса классов и macro-F1.</w:t>
      </w:r>
    </w:p>
    <w:p>
      <w:pPr>
        <w:pStyle w:val="BodyText"/>
      </w:pPr>
      <w:r>
        <w:t xml:space="preserve">Это ограничение важно учитывать при сравнении с работами, где документы</w:t>
      </w:r>
      <w:r>
        <w:t xml:space="preserve"> </w:t>
      </w:r>
      <w:r>
        <w:t xml:space="preserve">содержат десятки предложений.</w:t>
      </w:r>
    </w:p>
    <w:bookmarkEnd w:id="38"/>
    <w:bookmarkEnd w:id="39"/>
    <w:bookmarkStart w:id="44" w:name="стилометрические-признаки"/>
    <w:p>
      <w:pPr>
        <w:pStyle w:val="Heading1"/>
      </w:pPr>
      <w:r>
        <w:t xml:space="preserve">3. Стилометрические признаки</w:t>
      </w:r>
    </w:p>
    <w:bookmarkStart w:id="41" w:name="X97817c25336b69e5242083725e973e126e53051"/>
    <w:p>
      <w:pPr>
        <w:pStyle w:val="Heading2"/>
      </w:pPr>
      <w:r>
        <w:t xml:space="preserve">3.1. Ручные признаки: 454 признака в 11 группах</w:t>
      </w:r>
    </w:p>
    <w:p>
      <w:pPr>
        <w:pStyle w:val="TableCaption"/>
        <w:keepNext/>
        <w:spacing w:before="200" w:after="80"/>
        <w:ind w:firstLine="0"/>
      </w:pPr>
      <w:r>
        <w:rPr>
          <w:rFonts w:ascii="Times New Roman" w:hAnsi="Times New Roman" w:eastAsia="Times New Roman"/>
          <w:b/>
          <w:color w:val="1A1A1A"/>
          <w:sz w:val="20"/>
        </w:rPr>
        <w:t>Таблица 3. Группы ручных стилометрических признаков</w:t>
      </w:r>
    </w:p>
    <w:tbl>
      <w:tblPr>
        <w:tblStyle w:val="Table"/>
        <w:tblW w:type="pct" w:w="5000"/>
        <w:jc w:val="center"/>
        <w:tblLayout w:type="fixed"/>
        <w:tblLook w:firstRow="1" w:lastRow="0" w:firstColumn="0" w:lastColumn="0" w:noHBand="0" w:noVBand="0" w:val="0020"/>
        <w:tblBorders>
          <w:top w:val="single" w:sz="4" w:space="0" w:color="B8A88F"/>
          <w:left w:val="single" w:sz="4" w:space="0" w:color="B8A88F"/>
          <w:bottom w:val="single" w:sz="4" w:space="0" w:color="B8A88F"/>
          <w:right w:val="single" w:sz="4" w:space="0" w:color="B8A88F"/>
          <w:insideH w:val="single" w:sz="4" w:space="0" w:color="B8A88F"/>
          <w:insideV w:val="single" w:sz="4" w:space="0" w:color="B8A88F"/>
        </w:tblBorders>
        <w:tblCellMar>
          <w:top w:w="60" w:type="dxa"/>
          <w:left w:w="90" w:type="dxa"/>
          <w:bottom w:w="60" w:type="dxa"/>
          <w:right w:w="90" w:type="dxa"/>
        </w:tblCellMar>
        <w:tblW w:type="pct" w:w="100%"/>
        <w:tblLayout w:type="fixed"/>
      </w:tblPr>
      <w:tblGrid>
        <w:gridCol w:w="2608"/>
        <w:gridCol w:w="6803"/>
      </w:tblGrid>
      <w:tr>
        <w:trPr>
          <w:tblHeader w:val="on"/>
          <w:tblHeader w:val="true"/>
          <w:cantSplit w:val="true"/>
        </w:trPr>
        <w:tc>
          <w:tcPr>
            <w:tcW w:type="dxa" w:w="2608"/>
            <w:shd w:val="clear" w:color="auto" w:fill="F1E8D8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/>
                <w:sz w:val="20"/>
              </w:rPr>
              <w:t xml:space="preserve">Группа</w:t>
            </w:r>
          </w:p>
        </w:tc>
        <w:tc>
          <w:tcPr>
            <w:tcW w:type="dxa" w:w="6803"/>
            <w:shd w:val="clear" w:color="auto" w:fill="F1E8D8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/>
                <w:sz w:val="20"/>
              </w:rPr>
              <w:t xml:space="preserve">Примеры</w:t>
            </w:r>
          </w:p>
        </w:tc>
      </w:tr>
      <w:tr>
        <w:trPr>
          <w:cantSplit w:val="true"/>
        </w:trPr>
        <w:tc>
          <w:tcPr>
            <w:tcW w:type="dxa" w:w="2608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Длина</w:t>
            </w:r>
          </w:p>
        </w:tc>
        <w:tc>
          <w:tcPr>
            <w:tcW w:type="dxa" w:w="6803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число слов, символов, предложений; длина предложения</w:t>
            </w:r>
          </w:p>
        </w:tc>
      </w:tr>
      <w:tr>
        <w:trPr>
          <w:cantSplit w:val="true"/>
        </w:trPr>
        <w:tc>
          <w:tcPr>
            <w:tcW w:type="dxa" w:w="2608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Лексика</w:t>
            </w:r>
          </w:p>
        </w:tc>
        <w:tc>
          <w:tcPr>
            <w:tcW w:type="dxa" w:w="6803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длины слов, апострофы, заглавные буквы, цифры</w:t>
            </w:r>
          </w:p>
        </w:tc>
      </w:tr>
      <w:tr>
        <w:trPr>
          <w:cantSplit w:val="true"/>
        </w:trPr>
        <w:tc>
          <w:tcPr>
            <w:tcW w:type="dxa" w:w="2608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Словарное богатство</w:t>
            </w:r>
          </w:p>
        </w:tc>
        <w:tc>
          <w:tcPr>
            <w:tcW w:type="dxa" w:w="6803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TTR (доля уникальных слов), Guiraud, Herdan, Yule’s K, Simpson’s D, доля гапаксов и дислегомен</w:t>
            </w:r>
          </w:p>
        </w:tc>
      </w:tr>
      <w:tr>
        <w:trPr>
          <w:cantSplit w:val="true"/>
        </w:trPr>
        <w:tc>
          <w:tcPr>
            <w:tcW w:type="dxa" w:w="2608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Символы</w:t>
            </w:r>
          </w:p>
        </w:tc>
        <w:tc>
          <w:tcPr>
            <w:tcW w:type="dxa" w:w="6803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частоты букв, регистр, цифры, пунктуация</w:t>
            </w:r>
          </w:p>
        </w:tc>
      </w:tr>
      <w:tr>
        <w:trPr>
          <w:cantSplit w:val="true"/>
        </w:trPr>
        <w:tc>
          <w:tcPr>
            <w:tcW w:type="dxa" w:w="2608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Пунктуация</w:t>
            </w:r>
          </w:p>
        </w:tc>
        <w:tc>
          <w:tcPr>
            <w:tcW w:type="dxa" w:w="6803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запятые, точки, многоточия, вопросы, восклицания, повторы</w:t>
            </w:r>
          </w:p>
        </w:tc>
      </w:tr>
      <w:tr>
        <w:trPr>
          <w:cantSplit w:val="true"/>
        </w:trPr>
        <w:tc>
          <w:tcPr>
            <w:tcW w:type="dxa" w:w="2608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Функциональные слова</w:t>
            </w:r>
          </w:p>
        </w:tc>
        <w:tc>
          <w:tcPr>
            <w:tcW w:type="dxa" w:w="6803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артикли, предлоги, союзы, местоимения, вспомогательные глаголы</w:t>
            </w:r>
          </w:p>
        </w:tc>
      </w:tr>
      <w:tr>
        <w:trPr>
          <w:cantSplit w:val="true"/>
        </w:trPr>
        <w:tc>
          <w:tcPr>
            <w:tcW w:type="dxa" w:w="2608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Местоимения</w:t>
            </w:r>
          </w:p>
        </w:tc>
        <w:tc>
          <w:tcPr>
            <w:tcW w:type="dxa" w:w="6803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1-е, 2-е, 3-е лицо; отношение «я/ты»</w:t>
            </w:r>
          </w:p>
        </w:tc>
      </w:tr>
      <w:tr>
        <w:trPr>
          <w:cantSplit w:val="true"/>
        </w:trPr>
        <w:tc>
          <w:tcPr>
            <w:tcW w:type="dxa" w:w="2608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Части речи</w:t>
            </w:r>
          </w:p>
        </w:tc>
        <w:tc>
          <w:tcPr>
            <w:tcW w:type="dxa" w:w="6803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Universal POS, Penn Treebank, время, модальность, герундий</w:t>
            </w:r>
          </w:p>
        </w:tc>
      </w:tr>
      <w:tr>
        <w:trPr>
          <w:cantSplit w:val="true"/>
        </w:trPr>
        <w:tc>
          <w:tcPr>
            <w:tcW w:type="dxa" w:w="2608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Синтаксис</w:t>
            </w:r>
          </w:p>
        </w:tc>
        <w:tc>
          <w:tcPr>
            <w:tcW w:type="dxa" w:w="6803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клаузы (элементарные предложения), подчинительные союзы, пассивные конструкции, вопросы</w:t>
            </w:r>
          </w:p>
        </w:tc>
      </w:tr>
      <w:tr>
        <w:trPr>
          <w:cantSplit w:val="true"/>
        </w:trPr>
        <w:tc>
          <w:tcPr>
            <w:tcW w:type="dxa" w:w="2608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Читаемость</w:t>
            </w:r>
          </w:p>
        </w:tc>
        <w:tc>
          <w:tcPr>
            <w:tcW w:type="dxa" w:w="6803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Flesch, Flesch—Kincaid, Gunning Fog, SMOG, Coleman—Liau, ARI</w:t>
            </w:r>
          </w:p>
        </w:tc>
      </w:tr>
      <w:tr>
        <w:trPr>
          <w:cantSplit w:val="true"/>
        </w:trPr>
        <w:tc>
          <w:tcPr>
            <w:tcW w:type="dxa" w:w="2608"/>
          </w:tcPr>
          <w:p>
            <w:pPr>
              <w:pStyle w:val="Compact"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Разговорные маркеры</w:t>
            </w:r>
          </w:p>
        </w:tc>
        <w:tc>
          <w:tcPr>
            <w:tcW w:type="dxa" w:w="6803"/>
          </w:tcPr>
          <w:p>
            <w:pPr>
              <w:pStyle w:val="Compact"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междометия, смех, осторожные формулировки (хеджи), интенсификаторы, вежливость, сокращения</w:t>
            </w:r>
          </w:p>
        </w:tc>
      </w:tr>
    </w:tbl>
    <w:p>
      <w:pPr>
        <w:spacing w:before="0" w:after="0" w:line="240" w:lineRule="auto"/>
      </w:pPr>
      <w:r>
        <w:rPr>
          <w:sz w:val="8"/>
        </w:rPr>
      </w:r>
    </w:p>
    <w:p>
      <w:pPr>
        <w:pStyle w:val="BodyText"/>
      </w:pPr>
      <w:r>
        <w:t xml:space="preserve">Словарное богатство и читаемость помечены как предварительные: на репликах</w:t>
      </w:r>
      <w:r>
        <w:t xml:space="preserve"> </w:t>
      </w:r>
      <w:r>
        <w:t xml:space="preserve">длиной 10–20 слов они нестабильны. Основные группы для коротких текстов —</w:t>
      </w:r>
      <w:r>
        <w:t xml:space="preserve"> </w:t>
      </w:r>
      <w:r>
        <w:t xml:space="preserve">функциональные слова, части речи, пунктуация, символьные n-граммы и</w:t>
      </w:r>
      <w:r>
        <w:t xml:space="preserve"> </w:t>
      </w:r>
      <w:r>
        <w:t xml:space="preserve">разговорные маркеры.</w:t>
      </w:r>
    </w:p>
    <w:bookmarkStart w:id="40" w:name="обоснование-выбора"/>
    <w:p>
      <w:pPr>
        <w:pStyle w:val="Heading3"/>
      </w:pPr>
      <w:r>
        <w:t xml:space="preserve">Обоснование выбора</w:t>
      </w:r>
    </w:p>
    <w:p>
      <w:pPr>
        <w:pStyle w:val="Compact"/>
        <w:numPr>
          <w:ilvl w:val="0"/>
          <w:numId w:val="1005"/>
        </w:numPr>
      </w:pPr>
      <w:r>
        <w:t xml:space="preserve">Функциональные слова — классическое ядро стилометрии: закрытый класс мало</w:t>
      </w:r>
      <w:r>
        <w:t xml:space="preserve"> </w:t>
      </w:r>
      <w:r>
        <w:t xml:space="preserve">зависит от темы.</w:t>
      </w:r>
    </w:p>
    <w:p>
      <w:pPr>
        <w:pStyle w:val="Compact"/>
        <w:numPr>
          <w:ilvl w:val="0"/>
          <w:numId w:val="1005"/>
        </w:numPr>
      </w:pPr>
      <w:r>
        <w:t xml:space="preserve">Части речи и синтаксические прокси отражают структуру фразы.</w:t>
      </w:r>
    </w:p>
    <w:p>
      <w:pPr>
        <w:pStyle w:val="Compact"/>
        <w:numPr>
          <w:ilvl w:val="0"/>
          <w:numId w:val="1005"/>
        </w:numPr>
      </w:pPr>
      <w:r>
        <w:t xml:space="preserve">Символьные n-граммы устойчивы к теме и фиксируют морфологию, пунктуацию и</w:t>
      </w:r>
      <w:r>
        <w:t xml:space="preserve"> </w:t>
      </w:r>
      <w:r>
        <w:t xml:space="preserve">орфографию.</w:t>
      </w:r>
    </w:p>
    <w:p>
      <w:pPr>
        <w:pStyle w:val="Compact"/>
        <w:numPr>
          <w:ilvl w:val="0"/>
          <w:numId w:val="1005"/>
        </w:numPr>
      </w:pPr>
      <w:r>
        <w:t xml:space="preserve">Разговорные маркеры важны для игровых реплик: междометия, многоточия,</w:t>
      </w:r>
      <w:r>
        <w:t xml:space="preserve"> </w:t>
      </w:r>
      <w:r>
        <w:t xml:space="preserve">смех и вежливость различают персонажей.</w:t>
      </w:r>
    </w:p>
    <w:p>
      <w:pPr>
        <w:pStyle w:val="Compact"/>
        <w:numPr>
          <w:ilvl w:val="0"/>
          <w:numId w:val="1005"/>
        </w:numPr>
      </w:pPr>
      <w:r>
        <w:t xml:space="preserve">LSA сжимает разреженное пространство и позволяет сравнить тематический и</w:t>
      </w:r>
      <w:r>
        <w:t xml:space="preserve"> </w:t>
      </w:r>
      <w:r>
        <w:t xml:space="preserve">стилистический вклады.</w:t>
      </w:r>
    </w:p>
    <w:bookmarkEnd w:id="40"/>
    <w:bookmarkEnd w:id="41"/>
    <w:bookmarkStart w:id="42" w:name="символьные-и-частеречные-n-граммы"/>
    <w:p>
      <w:pPr>
        <w:pStyle w:val="Heading2"/>
      </w:pPr>
      <w:r>
        <w:t xml:space="preserve">3.2. Символьные и частеречные n-граммы</w:t>
      </w:r>
    </w:p>
    <w:p>
      <w:pPr>
        <w:pStyle w:val="Compact"/>
        <w:numPr>
          <w:ilvl w:val="0"/>
          <w:numId w:val="1006"/>
        </w:numPr>
      </w:pPr>
      <w:r>
        <w:t xml:space="preserve">Символьные n-граммы: TF-IDF по символьным n-граммам в границах слов</w:t>
      </w:r>
      <w:r>
        <w:t xml:space="preserve"> </w:t>
      </w:r>
      <w:r>
        <w:t xml:space="preserve">(</w:t>
      </w:r>
      <w:r>
        <w:rPr>
          <w:rStyle w:val="VerbatimChar"/>
        </w:rPr>
        <w:t xml:space="preserve">char_wb</w:t>
      </w:r>
      <w:r>
        <w:t xml:space="preserve">), диапазон 2–5,</w:t>
      </w:r>
      <w:r>
        <w:t xml:space="preserve"> </w:t>
      </w:r>
      <w:r>
        <w:rPr>
          <w:rStyle w:val="VerbatimChar"/>
        </w:rPr>
        <w:t xml:space="preserve">min_df=3</w:t>
      </w:r>
      <w:r>
        <w:t xml:space="preserve">, до 5000–10 000 признаков,</w:t>
      </w:r>
      <w:r>
        <w:t xml:space="preserve"> </w:t>
      </w:r>
      <w:r>
        <w:t xml:space="preserve">L2-нормализация.</w:t>
      </w:r>
    </w:p>
    <w:p>
      <w:pPr>
        <w:pStyle w:val="Compact"/>
        <w:numPr>
          <w:ilvl w:val="0"/>
          <w:numId w:val="1006"/>
        </w:numPr>
      </w:pPr>
      <w:r>
        <w:t xml:space="preserve">Частеречные n-граммы: TF-IDF по последовательностям Universal POS,</w:t>
      </w:r>
      <w:r>
        <w:t xml:space="preserve"> </w:t>
      </w:r>
      <w:r>
        <w:t xml:space="preserve">диапазон 1–3, до 500 признаков.</w:t>
      </w:r>
    </w:p>
    <w:p>
      <w:pPr>
        <w:pStyle w:val="FirstParagraph"/>
      </w:pPr>
      <w:r>
        <w:t xml:space="preserve">TF-IDF — вес признака, который растёт с частотой внутри реплики и падает с</w:t>
      </w:r>
      <w:r>
        <w:t xml:space="preserve"> </w:t>
      </w:r>
      <w:r>
        <w:t xml:space="preserve">частотой в корпусе: частые общие n-граммы получают меньший вес, редкие</w:t>
      </w:r>
      <w:r>
        <w:t xml:space="preserve"> </w:t>
      </w:r>
      <w:r>
        <w:t xml:space="preserve">характерные — больший.</w:t>
      </w:r>
    </w:p>
    <w:p>
      <w:pPr>
        <w:pStyle w:val="BodyText"/>
      </w:pPr>
      <w:r>
        <w:t xml:space="preserve">Символьные n-граммы фиксируют морфологию и оформление; n-граммы частей речи —</w:t>
      </w:r>
      <w:r>
        <w:t xml:space="preserve"> </w:t>
      </w:r>
      <w:r>
        <w:t xml:space="preserve">синтаксические шаблоны. Оба блока устойчивее к теме, чем словарные n-граммы.</w:t>
      </w:r>
    </w:p>
    <w:bookmarkEnd w:id="42"/>
    <w:bookmarkStart w:id="43" w:name="латентно-семантический-анализ"/>
    <w:p>
      <w:pPr>
        <w:pStyle w:val="Heading2"/>
      </w:pPr>
      <w:r>
        <w:t xml:space="preserve">3.3. Латентно-семантический анализ</w:t>
      </w:r>
    </w:p>
    <w:p>
      <w:pPr>
        <w:pStyle w:val="FirstParagraph"/>
      </w:pPr>
      <w:r>
        <w:t xml:space="preserve">LSA реализован как:</w:t>
      </w:r>
    </w:p>
    <w:p>
      <w:pPr>
        <w:pStyle w:val="SourceCode"/>
      </w:pPr>
      <w:r>
        <w:rPr>
          <w:rStyle w:val="VerbatimChar"/>
        </w:rPr>
        <w:t xml:space="preserve">TF-IDF -&gt; усечённое сингулярное разложение (TruncatedSVD) -&gt; L2-нормализация</w:t>
      </w:r>
    </w:p>
    <w:p>
      <w:pPr>
        <w:pStyle w:val="FirstParagraph"/>
      </w:pPr>
      <w:r>
        <w:t xml:space="preserve">Варианты:</w:t>
      </w:r>
    </w:p>
    <w:p>
      <w:pPr>
        <w:pStyle w:val="TableCaption"/>
        <w:keepNext/>
        <w:spacing w:before="200" w:after="80"/>
        <w:ind w:firstLine="0"/>
      </w:pPr>
      <w:r>
        <w:rPr>
          <w:rFonts w:ascii="Times New Roman" w:hAnsi="Times New Roman" w:eastAsia="Times New Roman"/>
          <w:b/>
          <w:color w:val="1A1A1A"/>
          <w:sz w:val="20"/>
        </w:rPr>
        <w:t>Таблица 4. Варианты латентно-семантического анализа</w:t>
      </w:r>
    </w:p>
    <w:tbl>
      <w:tblPr>
        <w:tblStyle w:val="Table"/>
        <w:tblW w:type="auto" w:w="0"/>
        <w:jc w:val="center"/>
        <w:tblLayout w:type="fixed"/>
        <w:tblLook w:firstRow="1" w:lastRow="0" w:firstColumn="0" w:lastColumn="0" w:noHBand="0" w:noVBand="0" w:val="0020"/>
        <w:tblBorders>
          <w:top w:val="single" w:sz="4" w:space="0" w:color="B8A88F"/>
          <w:left w:val="single" w:sz="4" w:space="0" w:color="B8A88F"/>
          <w:bottom w:val="single" w:sz="4" w:space="0" w:color="B8A88F"/>
          <w:right w:val="single" w:sz="4" w:space="0" w:color="B8A88F"/>
          <w:insideH w:val="single" w:sz="4" w:space="0" w:color="B8A88F"/>
          <w:insideV w:val="single" w:sz="4" w:space="0" w:color="B8A88F"/>
        </w:tblBorders>
        <w:tblCellMar>
          <w:top w:w="60" w:type="dxa"/>
          <w:left w:w="90" w:type="dxa"/>
          <w:bottom w:w="60" w:type="dxa"/>
          <w:right w:w="90" w:type="dxa"/>
        </w:tblCellMar>
        <w:tblW w:type="pct" w:w="100%"/>
        <w:tblLayout w:type="fixed"/>
      </w:tblPr>
      <w:tblGrid>
        <w:gridCol w:w="1928"/>
        <w:gridCol w:w="7483"/>
      </w:tblGrid>
      <w:tr>
        <w:trPr>
          <w:tblHeader w:val="on"/>
          <w:tblHeader w:val="true"/>
          <w:cantSplit w:val="true"/>
        </w:trPr>
        <w:tc>
          <w:tcPr>
            <w:tcW w:type="dxa" w:w="1928"/>
            <w:shd w:val="clear" w:color="auto" w:fill="F1E8D8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/>
                <w:sz w:val="20"/>
              </w:rPr>
              <w:t xml:space="preserve">Вариант</w:t>
            </w:r>
          </w:p>
        </w:tc>
        <w:tc>
          <w:tcPr>
            <w:tcW w:type="dxa" w:w="7483"/>
            <w:shd w:val="clear" w:color="auto" w:fill="F1E8D8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/>
                <w:sz w:val="20"/>
              </w:rPr>
              <w:t xml:space="preserve">Что отражает</w:t>
            </w:r>
          </w:p>
        </w:tc>
      </w:tr>
      <w:tr>
        <w:trPr>
          <w:cantSplit w:val="true"/>
        </w:trPr>
        <w:tc>
          <w:tcPr>
            <w:tcW w:type="dxa" w:w="1928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Style w:val="VerbatimChar"/>
                <w:rFonts w:ascii="Times New Roman" w:hAnsi="Times New Roman" w:eastAsia="Times New Roman"/>
                <w:b w:val="0"/>
                <w:sz w:val="20"/>
              </w:rPr>
              <w:t xml:space="preserve">word</w:t>
            </w:r>
          </w:p>
        </w:tc>
        <w:tc>
          <w:tcPr>
            <w:tcW w:type="dxa" w:w="7483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лексику и тему</w:t>
            </w:r>
          </w:p>
        </w:tc>
      </w:tr>
      <w:tr>
        <w:trPr>
          <w:cantSplit w:val="true"/>
        </w:trPr>
        <w:tc>
          <w:tcPr>
            <w:tcW w:type="dxa" w:w="1928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Style w:val="VerbatimChar"/>
                <w:rFonts w:ascii="Times New Roman" w:hAnsi="Times New Roman" w:eastAsia="Times New Roman"/>
                <w:b w:val="0"/>
                <w:sz w:val="20"/>
              </w:rPr>
              <w:t xml:space="preserve">word2</w:t>
            </w:r>
          </w:p>
        </w:tc>
        <w:tc>
          <w:tcPr>
            <w:tcW w:type="dxa" w:w="7483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лексику и устойчивые сочетания</w:t>
            </w:r>
          </w:p>
        </w:tc>
      </w:tr>
      <w:tr>
        <w:trPr>
          <w:cantSplit w:val="true"/>
        </w:trPr>
        <w:tc>
          <w:tcPr>
            <w:tcW w:type="dxa" w:w="1928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Style w:val="VerbatimChar"/>
                <w:rFonts w:ascii="Times New Roman" w:hAnsi="Times New Roman" w:eastAsia="Times New Roman"/>
                <w:b w:val="0"/>
                <w:sz w:val="20"/>
              </w:rPr>
              <w:t xml:space="preserve">content</w:t>
            </w:r>
          </w:p>
        </w:tc>
        <w:tc>
          <w:tcPr>
            <w:tcW w:type="dxa" w:w="7483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содержание после удаления стоп-слов</w:t>
            </w:r>
          </w:p>
        </w:tc>
      </w:tr>
      <w:tr>
        <w:trPr>
          <w:cantSplit w:val="true"/>
        </w:trPr>
        <w:tc>
          <w:tcPr>
            <w:tcW w:type="dxa" w:w="1928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Style w:val="VerbatimChar"/>
                <w:rFonts w:ascii="Times New Roman" w:hAnsi="Times New Roman" w:eastAsia="Times New Roman"/>
                <w:b w:val="0"/>
                <w:sz w:val="20"/>
              </w:rPr>
              <w:t xml:space="preserve">fw</w:t>
            </w:r>
          </w:p>
        </w:tc>
        <w:tc>
          <w:tcPr>
            <w:tcW w:type="dxa" w:w="7483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функциональные слова и синтаксис</w:t>
            </w:r>
          </w:p>
        </w:tc>
      </w:tr>
      <w:tr>
        <w:trPr>
          <w:cantSplit w:val="true"/>
        </w:trPr>
        <w:tc>
          <w:tcPr>
            <w:tcW w:type="dxa" w:w="1928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Style w:val="VerbatimChar"/>
                <w:rFonts w:ascii="Times New Roman" w:hAnsi="Times New Roman" w:eastAsia="Times New Roman"/>
                <w:b w:val="0"/>
                <w:sz w:val="20"/>
              </w:rPr>
              <w:t xml:space="preserve">char</w:t>
            </w:r>
          </w:p>
        </w:tc>
        <w:tc>
          <w:tcPr>
            <w:tcW w:type="dxa" w:w="7483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морфологию и пунктуацию</w:t>
            </w:r>
          </w:p>
        </w:tc>
      </w:tr>
      <w:tr>
        <w:trPr>
          <w:cantSplit w:val="true"/>
        </w:trPr>
        <w:tc>
          <w:tcPr>
            <w:tcW w:type="dxa" w:w="1928"/>
          </w:tcPr>
          <w:p>
            <w:pPr>
              <w:pStyle w:val="Compact"/>
              <w:spacing w:before="20" w:after="20" w:line="240" w:lineRule="auto"/>
              <w:ind w:firstLine="0"/>
            </w:pPr>
            <w:r>
              <w:rPr>
                <w:rStyle w:val="VerbatimChar"/>
                <w:rFonts w:ascii="Times New Roman" w:hAnsi="Times New Roman" w:eastAsia="Times New Roman"/>
                <w:b w:val="0"/>
                <w:sz w:val="20"/>
              </w:rPr>
              <w:t xml:space="preserve">pos</w:t>
            </w:r>
          </w:p>
        </w:tc>
        <w:tc>
          <w:tcPr>
            <w:tcW w:type="dxa" w:w="7483"/>
          </w:tcPr>
          <w:p>
            <w:pPr>
              <w:pStyle w:val="Compact"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частеречные последовательности</w:t>
            </w:r>
          </w:p>
        </w:tc>
      </w:tr>
    </w:tbl>
    <w:p>
      <w:pPr>
        <w:spacing w:before="0" w:after="0" w:line="240" w:lineRule="auto"/>
      </w:pPr>
      <w:r>
        <w:rPr>
          <w:sz w:val="8"/>
        </w:rPr>
      </w:r>
    </w:p>
    <w:p>
      <w:pPr>
        <w:pStyle w:val="BodyText"/>
      </w:pPr>
      <w:r>
        <w:t xml:space="preserve">Число компонент подбиралось в диапазоне 50–400 по объяснённой дисперсии и</w:t>
      </w:r>
      <w:r>
        <w:t xml:space="preserve"> </w:t>
      </w:r>
      <w:r>
        <w:t xml:space="preserve">внешней метрике. Для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-LSA качество росло до 400 компонент.</w:t>
      </w:r>
      <w:r>
        <w:t xml:space="preserve"> </w:t>
      </w:r>
      <w:r>
        <w:t xml:space="preserve">Ключевое ограничение: LSA по содержательным словам может отражать тему, а не</w:t>
      </w:r>
      <w:r>
        <w:t xml:space="preserve"> </w:t>
      </w:r>
      <w:r>
        <w:t xml:space="preserve">только стиль. Поэтому варианты сравнивались между собой, а не выбирались</w:t>
      </w:r>
      <w:r>
        <w:t xml:space="preserve"> </w:t>
      </w:r>
      <w:r>
        <w:t xml:space="preserve">заранее.</w:t>
      </w:r>
    </w:p>
    <w:bookmarkEnd w:id="43"/>
    <w:bookmarkEnd w:id="44"/>
    <w:bookmarkStart w:id="53" w:name="классификаторы"/>
    <w:p>
      <w:pPr>
        <w:pStyle w:val="Heading1"/>
      </w:pPr>
      <w:r>
        <w:t xml:space="preserve">4. Классификаторы</w:t>
      </w:r>
    </w:p>
    <w:p>
      <w:pPr>
        <w:pStyle w:val="FirstParagraph"/>
      </w:pPr>
      <w:r>
        <w:t xml:space="preserve">В работе использовано шесть семейств ML-классификаторов и классическая дельта</w:t>
      </w:r>
      <w:r>
        <w:t xml:space="preserve"> </w:t>
      </w:r>
      <w:r>
        <w:t xml:space="preserve">Барроуза — всего семь подходов; требование «не менее трёх» выполнено с</w:t>
      </w:r>
      <w:r>
        <w:t xml:space="preserve"> </w:t>
      </w:r>
      <w:r>
        <w:t xml:space="preserve">запасом.</w:t>
      </w:r>
    </w:p>
    <w:bookmarkStart w:id="45" w:name="логистическая-регрессия"/>
    <w:p>
      <w:pPr>
        <w:pStyle w:val="Heading2"/>
      </w:pPr>
      <w:r>
        <w:t xml:space="preserve">4.1. Логистическая регрессия</w:t>
      </w:r>
    </w:p>
    <w:p>
      <w:pPr>
        <w:pStyle w:val="FirstParagraph"/>
      </w:pPr>
      <w:r>
        <w:t xml:space="preserve">Линейная модель: для каждого класса вычисляется оценка</w:t>
      </w:r>
      <w:r>
        <w:t xml:space="preserve"> </w:t>
      </w:r>
      <m:oMath>
        <m:sSub>
          <m:e>
            <m:r>
              <w:rPr>
                <w:rFonts w:ascii="Cambria Math" w:hAnsi="Cambria Math"/>
              </w:rPr>
              <m:t>s</m:t>
            </m:r>
          </m:e>
          <m:sub>
            <m:r>
              <w:rPr>
                <w:rFonts w:ascii="Cambria Math" w:hAnsi="Cambria Math"/>
              </w:rPr>
              <m:t>c</m:t>
            </m:r>
          </m:sub>
        </m:sSub>
        <m:r>
          <w:rPr>
            <w:rFonts w:ascii="Cambria Math" w:hAnsi="Cambria Math"/>
          </w:rPr>
          <m:rPr>
            <m:sty m:val="p"/>
          </m:rPr>
          <m:t>(</m:t>
        </m:r>
        <m:r>
          <w:rPr>
            <w:rFonts w:ascii="Cambria Math" w:hAnsi="Cambria Math"/>
          </w:rPr>
          <m:t>x</m:t>
        </m:r>
        <m:r>
          <w:rPr>
            <w:rFonts w:ascii="Cambria Math" w:hAnsi="Cambria Math"/>
          </w:rPr>
          <m:rPr>
            <m:sty m:val="p"/>
          </m:rPr>
          <m:t>)</m:t>
        </m:r>
        <m:r>
          <w:rPr>
            <w:rFonts w:ascii="Cambria Math" w:hAnsi="Cambria Math"/>
          </w:rPr>
          <m:rPr>
            <m:sty m:val="p"/>
          </m:rPr>
          <m:t>=</m:t>
        </m:r>
        <m:sSubSup>
          <m:e>
            <m:r>
              <w:rPr>
                <w:rFonts w:ascii="Cambria Math" w:hAnsi="Cambria Math"/>
              </w:rPr>
              <m:t>w</m:t>
            </m:r>
          </m:e>
          <m:sub>
            <m:r>
              <w:rPr>
                <w:rFonts w:ascii="Cambria Math" w:hAnsi="Cambria Math"/>
              </w:rPr>
              <m:t>c</m:t>
            </m:r>
          </m:sub>
          <m:sup>
            <m:r>
              <w:rPr>
                <w:rFonts w:ascii="Cambria Math" w:hAnsi="Cambria Math"/>
              </w:rPr>
              <m:rPr>
                <m:sty m:val="p"/>
              </m:rPr>
              <m:t>⊤</m:t>
            </m:r>
          </m:sup>
        </m:sSubSup>
        <m:r>
          <w:rPr>
            <w:rFonts w:ascii="Cambria Math" w:hAnsi="Cambria Math"/>
          </w:rPr>
          <m:t>x</m:t>
        </m:r>
        <m:r>
          <w:rPr>
            <w:rFonts w:ascii="Cambria Math" w:hAnsi="Cambria Math"/>
          </w:rPr>
          <m:rPr>
            <m:sty m:val="p"/>
          </m:rPr>
          <m:t>+</m:t>
        </m:r>
        <m:sSub>
          <m:e>
            <m:r>
              <w:rPr>
                <w:rFonts w:ascii="Cambria Math" w:hAnsi="Cambria Math"/>
              </w:rPr>
              <m:t>b</m:t>
            </m:r>
          </m:e>
          <m:sub>
            <m:r>
              <w:rPr>
                <w:rFonts w:ascii="Cambria Math" w:hAnsi="Cambria Math"/>
              </w:rPr>
              <m:t>c</m:t>
            </m:r>
          </m:sub>
        </m:sSub>
      </m:oMath>
      <w:r>
        <w:t xml:space="preserve">, затем вероятности через softmax. Обучение</w:t>
      </w:r>
      <w:r>
        <w:t xml:space="preserve"> </w:t>
      </w:r>
      <w:r>
        <w:t xml:space="preserve">минимизирует перекрёстную энтропию с L2-регуляризацией. Параметр</w:t>
      </w:r>
      <w:r>
        <w:t xml:space="preserve"> </w:t>
      </w:r>
      <m:oMath>
        <m:r>
          <w:rPr>
            <w:rFonts w:ascii="Cambria Math" w:hAnsi="Cambria Math"/>
          </w:rPr>
          <m:t>C</m:t>
        </m:r>
      </m:oMath>
      <w:r>
        <w:t xml:space="preserve"> </w:t>
      </w:r>
      <w:r>
        <w:t xml:space="preserve">управляет силой регуляризации;</w:t>
      </w:r>
      <w:r>
        <w:t xml:space="preserve"> </w:t>
      </w:r>
      <w:r>
        <w:rPr>
          <w:rStyle w:val="VerbatimChar"/>
        </w:rPr>
        <w:t xml:space="preserve">class_weight="balanced"</w:t>
      </w:r>
      <w:r>
        <w:t xml:space="preserve"> </w:t>
      </w:r>
      <w:r>
        <w:t xml:space="preserve">повышает вес редких</w:t>
      </w:r>
      <w:r>
        <w:t xml:space="preserve"> </w:t>
      </w:r>
      <w:r>
        <w:t xml:space="preserve">классов.</w:t>
      </w:r>
    </w:p>
    <w:p>
      <w:pPr>
        <w:pStyle w:val="BodyText"/>
      </w:pPr>
      <w:r>
        <w:t xml:space="preserve">Сильные стороны: устойчивость при большом числе признаков, вероятности,</w:t>
      </w:r>
      <w:r>
        <w:t xml:space="preserve"> </w:t>
      </w:r>
      <w:r>
        <w:t xml:space="preserve">интерпретируемые коэффициенты. Ограничение: только линейные границы.</w:t>
      </w:r>
    </w:p>
    <w:bookmarkEnd w:id="45"/>
    <w:bookmarkStart w:id="46" w:name="линейный-метод-опорных-векторов"/>
    <w:p>
      <w:pPr>
        <w:pStyle w:val="Heading2"/>
      </w:pPr>
      <w:r>
        <w:t xml:space="preserve">4.2. Линейный метод опорных векторов</w:t>
      </w:r>
    </w:p>
    <w:p>
      <w:pPr>
        <w:pStyle w:val="FirstParagraph"/>
      </w:pPr>
      <w:r>
        <w:t xml:space="preserve">Ищет линейную границу с максимальным зазором; параметр</w:t>
      </w:r>
      <w:r>
        <w:t xml:space="preserve"> </w:t>
      </w:r>
      <m:oMath>
        <m:r>
          <w:rPr>
            <w:rFonts w:ascii="Cambria Math" w:hAnsi="Cambria Math"/>
          </w:rPr>
          <m:t>C</m:t>
        </m:r>
      </m:oMath>
      <w:r>
        <w:t xml:space="preserve"> </w:t>
      </w:r>
      <w:r>
        <w:t xml:space="preserve">штрафует</w:t>
      </w:r>
      <w:r>
        <w:t xml:space="preserve"> </w:t>
      </w:r>
      <w:r>
        <w:t xml:space="preserve">нарушения зазора. Не выдаёт вероятностей: для тройки лучших используется</w:t>
      </w:r>
      <w:r>
        <w:t xml:space="preserve"> </w:t>
      </w:r>
      <w:r>
        <w:t xml:space="preserve">решающая функция. Силён на текстовых признаках, но требует настройки</w:t>
      </w:r>
      <w:r>
        <w:t xml:space="preserve"> </w:t>
      </w:r>
      <m:oMath>
        <m:r>
          <w:rPr>
            <w:rFonts w:ascii="Cambria Math" w:hAnsi="Cambria Math"/>
          </w:rPr>
          <m:t>C</m:t>
        </m:r>
      </m:oMath>
      <w:r>
        <w:t xml:space="preserve">.</w:t>
      </w:r>
    </w:p>
    <w:bookmarkEnd w:id="46"/>
    <w:bookmarkStart w:id="47" w:name="случайный-лес"/>
    <w:p>
      <w:pPr>
        <w:pStyle w:val="Heading2"/>
      </w:pPr>
      <w:r>
        <w:t xml:space="preserve">4.3. Случайный лес</w:t>
      </w:r>
    </w:p>
    <w:p>
      <w:pPr>
        <w:pStyle w:val="FirstParagraph"/>
      </w:pPr>
      <w:r>
        <w:t xml:space="preserve">Ансамбль решающих деревьев: каждое дерево обучается на подвыборке,</w:t>
      </w:r>
      <w:r>
        <w:t xml:space="preserve"> </w:t>
      </w:r>
      <w:r>
        <w:t xml:space="preserve">разбиения используют случайное подмножество признаков. Класс определяется</w:t>
      </w:r>
      <w:r>
        <w:t xml:space="preserve"> </w:t>
      </w:r>
      <w:r>
        <w:t xml:space="preserve">голосованием. Лес ловит нелинейные взаимодействия, но склонен к</w:t>
      </w:r>
      <w:r>
        <w:t xml:space="preserve"> </w:t>
      </w:r>
      <w:r>
        <w:t xml:space="preserve">переобучению на 2005 объектах; ограничивались глубина и размер листьев.</w:t>
      </w:r>
    </w:p>
    <w:bookmarkEnd w:id="47"/>
    <w:bookmarkStart w:id="48" w:name="сверхслучайные-деревья-extratrees"/>
    <w:p>
      <w:pPr>
        <w:pStyle w:val="Heading2"/>
      </w:pPr>
      <w:r>
        <w:t xml:space="preserve">4.4. Сверхслучайные деревья (ExtraTrees)</w:t>
      </w:r>
    </w:p>
    <w:p>
      <w:pPr>
        <w:pStyle w:val="FirstParagraph"/>
      </w:pPr>
      <w:r>
        <w:t xml:space="preserve">Похожи на случайный лес, но пороги разбиения выбираются случайно. Это</w:t>
      </w:r>
      <w:r>
        <w:t xml:space="preserve"> </w:t>
      </w:r>
      <w:r>
        <w:t xml:space="preserve">уменьшает дисперсию и ускоряет обучение. В работе ExtraTrees с расширенным</w:t>
      </w:r>
      <w:r>
        <w:t xml:space="preserve"> </w:t>
      </w:r>
      <w:r>
        <w:t xml:space="preserve">символьным словарём показали лучший результат среди одиночных моделей.</w:t>
      </w:r>
    </w:p>
    <w:bookmarkEnd w:id="48"/>
    <w:bookmarkStart w:id="49" w:name="наивный-байесовский-классификатор"/>
    <w:p>
      <w:pPr>
        <w:pStyle w:val="Heading2"/>
      </w:pPr>
      <w:r>
        <w:t xml:space="preserve">4.5. Наивный байесовский классификатор</w:t>
      </w:r>
    </w:p>
    <w:p>
      <w:pPr>
        <w:pStyle w:val="FirstParagraph"/>
      </w:pPr>
      <w:r>
        <w:t xml:space="preserve">MultinomialNB использует теорему Байеса и предположение об условной</w:t>
      </w:r>
      <w:r>
        <w:t xml:space="preserve"> </w:t>
      </w:r>
      <w:r>
        <w:t xml:space="preserve">независимости признаков; сглаживание Лапласа задаётся параметром</w:t>
      </w:r>
      <w:r>
        <w:t xml:space="preserve"> </w:t>
      </w:r>
      <m:oMath>
        <m:r>
          <w:rPr>
            <w:rFonts w:ascii="Cambria Math" w:hAnsi="Cambria Math"/>
          </w:rPr>
          <m:t>α</m:t>
        </m:r>
      </m:oMath>
      <w:r>
        <w:t xml:space="preserve">.</w:t>
      </w:r>
      <w:r>
        <w:t xml:space="preserve"> </w:t>
      </w:r>
      <w:r>
        <w:t xml:space="preserve">Быстрый baseline для частотных признаков; требует неотрицательных значений,</w:t>
      </w:r>
      <w:r>
        <w:t xml:space="preserve"> </w:t>
      </w:r>
      <w:r>
        <w:t xml:space="preserve">поэтому LSA-компоненты для него исключались.</w:t>
      </w:r>
    </w:p>
    <w:bookmarkEnd w:id="49"/>
    <w:bookmarkStart w:id="50" w:name="метод-ближайших-соседей"/>
    <w:p>
      <w:pPr>
        <w:pStyle w:val="Heading2"/>
      </w:pPr>
      <w:r>
        <w:t xml:space="preserve">4.6. Метод ближайших соседей</w:t>
      </w:r>
    </w:p>
    <w:p>
      <w:pPr>
        <w:pStyle w:val="FirstParagraph"/>
      </w:pPr>
      <w:r>
        <w:t xml:space="preserve">Класс определяется по</w:t>
      </w:r>
      <w:r>
        <w:t xml:space="preserve"> </w:t>
      </w:r>
      <m:oMath>
        <m:r>
          <w:rPr>
            <w:rFonts w:ascii="Cambria Math" w:hAnsi="Cambria Math"/>
          </w:rPr>
          <m:t>k</m:t>
        </m:r>
      </m:oMath>
      <w:r>
        <w:t xml:space="preserve"> </w:t>
      </w:r>
      <w:r>
        <w:t xml:space="preserve">ближайшим объектам; использовалось косинусное</w:t>
      </w:r>
      <w:r>
        <w:t xml:space="preserve"> </w:t>
      </w:r>
      <w:r>
        <w:t xml:space="preserve">расстояние и веса, обратные расстоянию. Простая локальная модель; чувствительна</w:t>
      </w:r>
      <w:r>
        <w:t xml:space="preserve"> </w:t>
      </w:r>
      <w:r>
        <w:t xml:space="preserve">к размерности и масштабу признаков.</w:t>
      </w:r>
    </w:p>
    <w:bookmarkEnd w:id="50"/>
    <w:bookmarkStart w:id="51" w:name="дельта-барроуза"/>
    <w:p>
      <w:pPr>
        <w:pStyle w:val="Heading2"/>
      </w:pPr>
      <w:r>
        <w:t xml:space="preserve">4.7. Дельта Барроуза</w:t>
      </w:r>
    </w:p>
    <w:p>
      <w:pPr>
        <w:pStyle w:val="FirstParagraph"/>
      </w:pPr>
      <w:r>
        <w:t xml:space="preserve">Классический стилометрический метод: выбираются наиболее частотные слова,</w:t>
      </w:r>
      <w:r>
        <w:t xml:space="preserve"> </w:t>
      </w:r>
      <w:r>
        <w:t xml:space="preserve">частоты z-нормируются по обучающей выборке, документ относится к классу с</w:t>
      </w:r>
      <w:r>
        <w:t xml:space="preserve"> </w:t>
      </w:r>
      <w:r>
        <w:t xml:space="preserve">минимальным расстоянием до центроида. Использовались манхэттенское и</w:t>
      </w:r>
      <w:r>
        <w:t xml:space="preserve"> </w:t>
      </w:r>
      <w:r>
        <w:t xml:space="preserve">косинусное расстояния. Дельта — независимая проверка, не заменяющая</w:t>
      </w:r>
      <w:r>
        <w:t xml:space="preserve"> </w:t>
      </w:r>
      <w:r>
        <w:t xml:space="preserve">ML-классификаторы.</w:t>
      </w:r>
    </w:p>
    <w:bookmarkEnd w:id="51"/>
    <w:bookmarkStart w:id="52" w:name="ансамбли"/>
    <w:p>
      <w:pPr>
        <w:pStyle w:val="Heading2"/>
      </w:pPr>
      <w:r>
        <w:t xml:space="preserve">4.8. Ансамбли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Мягкое голосование</w:t>
      </w:r>
      <w:r>
        <w:t xml:space="preserve"> </w:t>
      </w:r>
      <w:r>
        <w:t xml:space="preserve">усредняет вероятности нескольких моделей.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Объединение через мета-классификатор (стекинг)</w:t>
      </w:r>
      <w:r>
        <w:t xml:space="preserve"> </w:t>
      </w:r>
      <w:r>
        <w:t xml:space="preserve">обучает второй уровень</w:t>
      </w:r>
      <w:r>
        <w:t xml:space="preserve"> </w:t>
      </w:r>
      <w:r>
        <w:t xml:space="preserve">на предсказаниях базовых моделей. В наших данных оно переобучилось и</w:t>
      </w:r>
      <w:r>
        <w:t xml:space="preserve"> </w:t>
      </w:r>
      <w:r>
        <w:t xml:space="preserve">оказалось хуже мягкого голосования.</w:t>
      </w:r>
    </w:p>
    <w:bookmarkEnd w:id="52"/>
    <w:bookmarkEnd w:id="53"/>
    <w:bookmarkStart w:id="58" w:name="схема-верификации"/>
    <w:p>
      <w:pPr>
        <w:pStyle w:val="Heading1"/>
      </w:pPr>
      <w:r>
        <w:t xml:space="preserve">5. Схема верификации</w:t>
      </w:r>
    </w:p>
    <w:bookmarkStart w:id="54" w:name="перекрёстная-проверка"/>
    <w:p>
      <w:pPr>
        <w:pStyle w:val="Heading2"/>
      </w:pPr>
      <w:r>
        <w:t xml:space="preserve">5.1. Перекрёстная проверка</w:t>
      </w:r>
    </w:p>
    <w:p>
      <w:pPr>
        <w:pStyle w:val="FirstParagraph"/>
      </w:pPr>
      <w:r>
        <w:t xml:space="preserve">Основная схема:</w:t>
      </w:r>
    </w:p>
    <w:p>
      <w:pPr>
        <w:pStyle w:val="SourceCode"/>
      </w:pPr>
      <w:r>
        <w:rPr>
          <w:rStyle w:val="VerbatimChar"/>
        </w:rPr>
        <w:t xml:space="preserve">RepeatedStratifiedKFold(n_splits=5, n_repeats=3–5)</w:t>
      </w:r>
    </w:p>
    <w:p>
      <w:pPr>
        <w:pStyle w:val="FirstParagraph"/>
      </w:pPr>
      <w:r>
        <w:t xml:space="preserve">При 5 фолдах модель обучается на 4 фолдах и проверяется на 1; доли классов</w:t>
      </w:r>
      <w:r>
        <w:t xml:space="preserve"> </w:t>
      </w:r>
      <w:r>
        <w:t xml:space="preserve">сохраняются внутри фолдов. Повторность позволяет оценить разброс.</w:t>
      </w:r>
    </w:p>
    <w:bookmarkEnd w:id="54"/>
    <w:bookmarkStart w:id="55" w:name="вложенная-проверка"/>
    <w:p>
      <w:pPr>
        <w:pStyle w:val="Heading2"/>
      </w:pPr>
      <w:r>
        <w:t xml:space="preserve">5.2. Вложенная проверка</w:t>
      </w:r>
    </w:p>
    <w:p>
      <w:pPr>
        <w:pStyle w:val="FirstParagraph"/>
      </w:pPr>
      <w:r>
        <w:t xml:space="preserve">Внешние фолды используются для оценки качества, внутренние — для настройки</w:t>
      </w:r>
      <w:r>
        <w:t xml:space="preserve"> </w:t>
      </w:r>
      <w:r>
        <w:t xml:space="preserve">гиперпараметров. Дополнительно выполнен вложенный выбор конфигурации</w:t>
      </w:r>
      <w:r>
        <w:t xml:space="preserve"> </w:t>
      </w:r>
      <w:r>
        <w:t xml:space="preserve">признаков и модели: в каждом внешнем фолде конфигурация выбиралась только по</w:t>
      </w:r>
      <w:r>
        <w:t xml:space="preserve"> </w:t>
      </w:r>
      <w:r>
        <w:t xml:space="preserve">внутренним фолдам.</w:t>
      </w:r>
    </w:p>
    <w:bookmarkEnd w:id="55"/>
    <w:bookmarkStart w:id="56" w:name="контроль-утечек"/>
    <w:p>
      <w:pPr>
        <w:pStyle w:val="Heading2"/>
      </w:pPr>
      <w:r>
        <w:t xml:space="preserve">5.3. Контроль утечек</w:t>
      </w:r>
    </w:p>
    <w:p>
      <w:pPr>
        <w:pStyle w:val="Compact"/>
        <w:numPr>
          <w:ilvl w:val="0"/>
          <w:numId w:val="1008"/>
        </w:numPr>
      </w:pPr>
      <w:r>
        <w:t xml:space="preserve">TF-IDF, SVD, масштабирование и отбор признаков обучаются только на</w:t>
      </w:r>
      <w:r>
        <w:t xml:space="preserve"> </w:t>
      </w:r>
      <w:r>
        <w:t xml:space="preserve">обучающих фолдах.</w:t>
      </w:r>
    </w:p>
    <w:p>
      <w:pPr>
        <w:pStyle w:val="Compact"/>
        <w:numPr>
          <w:ilvl w:val="0"/>
          <w:numId w:val="1008"/>
        </w:numPr>
      </w:pPr>
      <w:r>
        <w:t xml:space="preserve">Тестовая выборка не участвует в выборе гиперпараметров или признаков.</w:t>
      </w:r>
    </w:p>
    <w:p>
      <w:pPr>
        <w:pStyle w:val="Compact"/>
        <w:numPr>
          <w:ilvl w:val="0"/>
          <w:numId w:val="1008"/>
        </w:numPr>
      </w:pPr>
      <w:r>
        <w:t xml:space="preserve">Контроль перестановкой меток дал macro-F1 0,0270–0,0282 — случайный</w:t>
      </w:r>
      <w:r>
        <w:t xml:space="preserve"> </w:t>
      </w:r>
      <w:r>
        <w:t xml:space="preserve">уровень.</w:t>
      </w:r>
    </w:p>
    <w:p>
      <w:pPr>
        <w:pStyle w:val="Compact"/>
        <w:numPr>
          <w:ilvl w:val="0"/>
          <w:numId w:val="1008"/>
        </w:numPr>
      </w:pPr>
      <w:r>
        <w:t xml:space="preserve">Все 13 почти-дубликатов находятся внутри одного класса; межклассовых</w:t>
      </w:r>
      <w:r>
        <w:t xml:space="preserve"> </w:t>
      </w:r>
      <w:r>
        <w:t xml:space="preserve">почти-дублей не обнаружено, поэтому прямой утечки метки нет. При более</w:t>
      </w:r>
      <w:r>
        <w:t xml:space="preserve"> </w:t>
      </w:r>
      <w:r>
        <w:t xml:space="preserve">строгой оценке такие пары всё равно следует держать в одном фолде.</w:t>
      </w:r>
    </w:p>
    <w:bookmarkEnd w:id="56"/>
    <w:bookmarkStart w:id="57" w:name="метрики"/>
    <w:p>
      <w:pPr>
        <w:pStyle w:val="Heading2"/>
      </w:pPr>
      <w:r>
        <w:t xml:space="preserve">5.4. Метрики</w:t>
      </w:r>
    </w:p>
    <w:p>
      <w:pPr>
        <w:pStyle w:val="TableCaption"/>
        <w:keepNext/>
        <w:spacing w:before="200" w:after="80"/>
        <w:ind w:firstLine="0"/>
      </w:pPr>
      <w:r>
        <w:rPr>
          <w:rFonts w:ascii="Times New Roman" w:hAnsi="Times New Roman" w:eastAsia="Times New Roman"/>
          <w:b/>
          <w:color w:val="1A1A1A"/>
          <w:sz w:val="20"/>
        </w:rPr>
        <w:t>Таблица 5. Метрики качества и их назначение</w:t>
      </w:r>
    </w:p>
    <w:tbl>
      <w:tblPr>
        <w:tblStyle w:val="Table"/>
        <w:tblW w:type="pct" w:w="5000"/>
        <w:jc w:val="center"/>
        <w:tblLayout w:type="fixed"/>
        <w:tblLook w:firstRow="1" w:lastRow="0" w:firstColumn="0" w:lastColumn="0" w:noHBand="0" w:noVBand="0" w:val="0020"/>
        <w:tblBorders>
          <w:top w:val="single" w:sz="4" w:space="0" w:color="B8A88F"/>
          <w:left w:val="single" w:sz="4" w:space="0" w:color="B8A88F"/>
          <w:bottom w:val="single" w:sz="4" w:space="0" w:color="B8A88F"/>
          <w:right w:val="single" w:sz="4" w:space="0" w:color="B8A88F"/>
          <w:insideH w:val="single" w:sz="4" w:space="0" w:color="B8A88F"/>
          <w:insideV w:val="single" w:sz="4" w:space="0" w:color="B8A88F"/>
        </w:tblBorders>
        <w:tblCellMar>
          <w:top w:w="60" w:type="dxa"/>
          <w:left w:w="90" w:type="dxa"/>
          <w:bottom w:w="60" w:type="dxa"/>
          <w:right w:w="90" w:type="dxa"/>
        </w:tblCellMar>
        <w:tblW w:type="pct" w:w="100%"/>
        <w:tblLayout w:type="fixed"/>
      </w:tblPr>
      <w:tblGrid>
        <w:gridCol w:w="3175"/>
        <w:gridCol w:w="6236"/>
      </w:tblGrid>
      <w:tr>
        <w:trPr>
          <w:tblHeader w:val="on"/>
          <w:tblHeader w:val="true"/>
          <w:cantSplit w:val="true"/>
        </w:trPr>
        <w:tc>
          <w:tcPr>
            <w:tcW w:type="dxa" w:w="3175"/>
            <w:shd w:val="clear" w:color="auto" w:fill="F1E8D8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/>
                <w:sz w:val="20"/>
              </w:rPr>
              <w:t xml:space="preserve">Метрика</w:t>
            </w:r>
          </w:p>
        </w:tc>
        <w:tc>
          <w:tcPr>
            <w:tcW w:type="dxa" w:w="6236"/>
            <w:shd w:val="clear" w:color="auto" w:fill="F1E8D8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/>
                <w:sz w:val="20"/>
              </w:rPr>
              <w:t xml:space="preserve">Что показывает</w:t>
            </w:r>
          </w:p>
        </w:tc>
      </w:tr>
      <w:tr>
        <w:trPr>
          <w:cantSplit w:val="true"/>
        </w:trPr>
        <w:tc>
          <w:tcPr>
            <w:tcW w:type="dxa" w:w="3175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Macro-F1</w:t>
            </w:r>
          </w:p>
        </w:tc>
        <w:tc>
          <w:tcPr>
            <w:tcW w:type="dxa" w:w="6236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Основная метрика: средняя F-мера по 34 классам</w:t>
            </w:r>
          </w:p>
        </w:tc>
      </w:tr>
      <w:tr>
        <w:trPr>
          <w:cantSplit w:val="true"/>
        </w:trPr>
        <w:tc>
          <w:tcPr>
            <w:tcW w:type="dxa" w:w="3175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Доля правильных ответов</w:t>
            </w:r>
          </w:p>
        </w:tc>
        <w:tc>
          <w:tcPr>
            <w:tcW w:type="dxa" w:w="6236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Доля совпавших ответов; обманчива при дисбалансе</w:t>
            </w:r>
          </w:p>
        </w:tc>
      </w:tr>
      <w:tr>
        <w:trPr>
          <w:cantSplit w:val="true"/>
        </w:trPr>
        <w:tc>
          <w:tcPr>
            <w:tcW w:type="dxa" w:w="3175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Сбалансированная доля</w:t>
            </w:r>
          </w:p>
        </w:tc>
        <w:tc>
          <w:tcPr>
            <w:tcW w:type="dxa" w:w="6236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Средняя полнота по классам</w:t>
            </w:r>
          </w:p>
        </w:tc>
      </w:tr>
      <w:tr>
        <w:trPr>
          <w:cantSplit w:val="true"/>
        </w:trPr>
        <w:tc>
          <w:tcPr>
            <w:tcW w:type="dxa" w:w="3175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Top-3</w:t>
            </w:r>
          </w:p>
        </w:tc>
        <w:tc>
          <w:tcPr>
            <w:tcW w:type="dxa" w:w="6236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Истинный класс попал в тройку лучших</w:t>
            </w:r>
          </w:p>
        </w:tc>
      </w:tr>
      <w:tr>
        <w:trPr>
          <w:cantSplit w:val="true"/>
        </w:trPr>
        <w:tc>
          <w:tcPr>
            <w:tcW w:type="dxa" w:w="3175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MCC (коэффициент корреляции Мэтьюза)</w:t>
            </w:r>
          </w:p>
        </w:tc>
        <w:tc>
          <w:tcPr>
            <w:tcW w:type="dxa" w:w="6236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Корреляция истинных и предсказанных меток</w:t>
            </w:r>
          </w:p>
        </w:tc>
      </w:tr>
      <w:tr>
        <w:trPr>
          <w:cantSplit w:val="true"/>
        </w:trPr>
        <w:tc>
          <w:tcPr>
            <w:tcW w:type="dxa" w:w="3175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Каппа Коэна</w:t>
            </w:r>
          </w:p>
        </w:tc>
        <w:tc>
          <w:tcPr>
            <w:tcW w:type="dxa" w:w="6236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Согласие с поправкой на случай</w:t>
            </w:r>
          </w:p>
        </w:tc>
      </w:tr>
      <w:tr>
        <w:trPr>
          <w:cantSplit w:val="true"/>
        </w:trPr>
        <w:tc>
          <w:tcPr>
            <w:tcW w:type="dxa" w:w="3175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Log loss / Brier</w:t>
            </w:r>
          </w:p>
        </w:tc>
        <w:tc>
          <w:tcPr>
            <w:tcW w:type="dxa" w:w="6236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Качество вероятностей</w:t>
            </w:r>
          </w:p>
        </w:tc>
      </w:tr>
      <w:tr>
        <w:trPr>
          <w:cantSplit w:val="true"/>
        </w:trPr>
        <w:tc>
          <w:tcPr>
            <w:tcW w:type="dxa" w:w="3175"/>
          </w:tcPr>
          <w:p>
            <w:pPr>
              <w:pStyle w:val="Compact"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Матрица ошибок</w:t>
            </w:r>
          </w:p>
        </w:tc>
        <w:tc>
          <w:tcPr>
            <w:tcW w:type="dxa" w:w="6236"/>
          </w:tcPr>
          <w:p>
            <w:pPr>
              <w:pStyle w:val="Compact"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Какие персонажи перепутываются</w:t>
            </w:r>
          </w:p>
        </w:tc>
      </w:tr>
    </w:tbl>
    <w:p>
      <w:pPr>
        <w:spacing w:before="0" w:after="0" w:line="240" w:lineRule="auto"/>
      </w:pPr>
      <w:r>
        <w:rPr>
          <w:sz w:val="8"/>
        </w:rPr>
      </w:r>
    </w:p>
    <w:p>
      <w:pPr>
        <w:pStyle w:val="BodyText"/>
      </w:pPr>
      <w:r>
        <w:t xml:space="preserve">Дополнительно использованы бутстрэп-интервалы, критерий Мак-Немара для</w:t>
      </w:r>
      <w:r>
        <w:t xml:space="preserve"> </w:t>
      </w:r>
      <w:r>
        <w:t xml:space="preserve">парных сравнений, критерий Уилкоксона и поправка Холма—Бонферрони.</w:t>
      </w:r>
    </w:p>
    <w:bookmarkEnd w:id="57"/>
    <w:bookmarkEnd w:id="58"/>
    <w:bookmarkStart w:id="88" w:name="результаты"/>
    <w:p>
      <w:pPr>
        <w:pStyle w:val="Heading1"/>
      </w:pPr>
      <w:r>
        <w:t xml:space="preserve">6. Результаты</w:t>
      </w:r>
    </w:p>
    <w:bookmarkStart w:id="62" w:name="сравнение-моделей"/>
    <w:p>
      <w:pPr>
        <w:pStyle w:val="Heading2"/>
      </w:pPr>
      <w:r>
        <w:t xml:space="preserve">6.1. Сравнение моделей</w:t>
      </w:r>
    </w:p>
    <w:p>
      <w:pPr>
        <w:pStyle w:val="TableCaption"/>
        <w:keepNext/>
        <w:spacing w:before="200" w:after="80"/>
        <w:ind w:firstLine="0"/>
      </w:pPr>
      <w:r>
        <w:rPr>
          <w:rFonts w:ascii="Times New Roman" w:hAnsi="Times New Roman" w:eastAsia="Times New Roman"/>
          <w:b/>
          <w:color w:val="1A1A1A"/>
          <w:sz w:val="20"/>
        </w:rPr>
        <w:t>Таблица 6. Сравнение конфигураций классификаторов</w:t>
      </w:r>
    </w:p>
    <w:tbl>
      <w:tblPr>
        <w:tblStyle w:val="Table"/>
        <w:tblW w:type="pct" w:w="5000"/>
        <w:jc w:val="center"/>
        <w:tblLayout w:type="fixed"/>
        <w:tblLook w:firstRow="1" w:lastRow="0" w:firstColumn="0" w:lastColumn="0" w:noHBand="0" w:noVBand="0" w:val="0020"/>
        <w:tblBorders>
          <w:top w:val="single" w:sz="4" w:space="0" w:color="B8A88F"/>
          <w:left w:val="single" w:sz="4" w:space="0" w:color="B8A88F"/>
          <w:bottom w:val="single" w:sz="4" w:space="0" w:color="B8A88F"/>
          <w:right w:val="single" w:sz="4" w:space="0" w:color="B8A88F"/>
          <w:insideH w:val="single" w:sz="4" w:space="0" w:color="B8A88F"/>
          <w:insideV w:val="single" w:sz="4" w:space="0" w:color="B8A88F"/>
        </w:tblBorders>
        <w:tblCellMar>
          <w:top w:w="60" w:type="dxa"/>
          <w:left w:w="90" w:type="dxa"/>
          <w:bottom w:w="60" w:type="dxa"/>
          <w:right w:w="90" w:type="dxa"/>
        </w:tblCellMar>
        <w:tblW w:type="pct" w:w="100%"/>
        <w:tblLayout w:type="fixed"/>
      </w:tblPr>
      <w:tblGrid>
        <w:gridCol w:w="4309"/>
        <w:gridCol w:w="1928"/>
        <w:gridCol w:w="1928"/>
        <w:gridCol w:w="1247"/>
      </w:tblGrid>
      <w:tr>
        <w:trPr>
          <w:tblHeader w:val="on"/>
          <w:tblHeader w:val="true"/>
          <w:cantSplit w:val="true"/>
        </w:trPr>
        <w:tc>
          <w:tcPr>
            <w:tcW w:type="dxa" w:w="4309"/>
            <w:shd w:val="clear" w:color="auto" w:fill="F1E8D8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/>
                <w:sz w:val="20"/>
              </w:rPr>
              <w:t xml:space="preserve">Конфигурация</w:t>
            </w:r>
          </w:p>
        </w:tc>
        <w:tc>
          <w:tcPr>
            <w:tcW w:type="dxa" w:w="1928"/>
            <w:shd w:val="clear" w:color="auto" w:fill="F1E8D8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/>
                <w:sz w:val="20"/>
              </w:rPr>
              <w:t xml:space="preserve">Macro-F1</w:t>
            </w:r>
          </w:p>
        </w:tc>
        <w:tc>
          <w:tcPr>
            <w:tcW w:type="dxa" w:w="1928"/>
            <w:shd w:val="clear" w:color="auto" w:fill="F1E8D8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/>
                <w:sz w:val="20"/>
              </w:rPr>
              <w:t xml:space="preserve">Доля правильных ответов</w:t>
            </w:r>
          </w:p>
        </w:tc>
        <w:tc>
          <w:tcPr>
            <w:tcW w:type="dxa" w:w="1247"/>
            <w:shd w:val="clear" w:color="auto" w:fill="F1E8D8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/>
                <w:sz w:val="20"/>
              </w:rPr>
              <w:t xml:space="preserve">Top-3</w:t>
            </w:r>
          </w:p>
        </w:tc>
      </w:tr>
      <w:tr>
        <w:trPr>
          <w:cantSplit w:val="true"/>
        </w:trPr>
        <w:tc>
          <w:tcPr>
            <w:tcW w:type="dxa" w:w="4309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Мягкое голосование трёх моделей</w:t>
            </w:r>
          </w:p>
        </w:tc>
        <w:tc>
          <w:tcPr>
            <w:tcW w:type="dxa" w:w="1928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bCs/>
                <w:sz w:val="20"/>
              </w:rPr>
              <w:t xml:space="preserve">0,3036 ± 0,0189</w:t>
            </w:r>
          </w:p>
        </w:tc>
        <w:tc>
          <w:tcPr>
            <w:tcW w:type="dxa" w:w="1928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0,2808</w:t>
            </w:r>
          </w:p>
        </w:tc>
        <w:tc>
          <w:tcPr>
            <w:tcW w:type="dxa" w:w="1247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0,4823</w:t>
            </w:r>
          </w:p>
        </w:tc>
      </w:tr>
      <w:tr>
        <w:trPr>
          <w:cantSplit w:val="true"/>
        </w:trPr>
        <w:tc>
          <w:tcPr>
            <w:tcW w:type="dxa" w:w="4309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ExtraTrees,</w:t>
            </w: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 </w:t>
            </w:r>
            <w:r>
              <w:rPr>
                <w:rStyle w:val="VerbatimChar"/>
                <w:rFonts w:ascii="Times New Roman" w:hAnsi="Times New Roman" w:eastAsia="Times New Roman"/>
                <w:b w:val="0"/>
                <w:sz w:val="20"/>
              </w:rPr>
              <w:t xml:space="preserve">char_max_features=10000</w:t>
            </w:r>
          </w:p>
        </w:tc>
        <w:tc>
          <w:tcPr>
            <w:tcW w:type="dxa" w:w="1928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0,2757 ± 0,0219</w:t>
            </w:r>
          </w:p>
        </w:tc>
        <w:tc>
          <w:tcPr>
            <w:tcW w:type="dxa" w:w="1928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0,2633</w:t>
            </w:r>
          </w:p>
        </w:tc>
        <w:tc>
          <w:tcPr>
            <w:tcW w:type="dxa" w:w="1247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0,4554</w:t>
            </w:r>
          </w:p>
        </w:tc>
      </w:tr>
      <w:tr>
        <w:trPr>
          <w:cantSplit w:val="true"/>
        </w:trPr>
        <w:tc>
          <w:tcPr>
            <w:tcW w:type="dxa" w:w="4309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Вложенный выбор конфигурации</w:t>
            </w:r>
          </w:p>
        </w:tc>
        <w:tc>
          <w:tcPr>
            <w:tcW w:type="dxa" w:w="1928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0,2746 ± 0,0233</w:t>
            </w:r>
          </w:p>
        </w:tc>
        <w:tc>
          <w:tcPr>
            <w:tcW w:type="dxa" w:w="1928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0,2603</w:t>
            </w:r>
          </w:p>
        </w:tc>
        <w:tc>
          <w:tcPr>
            <w:tcW w:type="dxa" w:w="1247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—</w:t>
            </w:r>
          </w:p>
        </w:tc>
      </w:tr>
      <w:tr>
        <w:trPr>
          <w:cantSplit w:val="true"/>
        </w:trPr>
        <w:tc>
          <w:tcPr>
            <w:tcW w:type="dxa" w:w="4309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Случайный лес,</w:t>
            </w: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 </w:t>
            </w:r>
            <w:r>
              <w:rPr>
                <w:rStyle w:val="VerbatimChar"/>
                <w:rFonts w:ascii="Times New Roman" w:hAnsi="Times New Roman" w:eastAsia="Times New Roman"/>
                <w:b w:val="0"/>
                <w:sz w:val="20"/>
              </w:rPr>
              <w:t xml:space="preserve">char_max_features=10000</w:t>
            </w:r>
          </w:p>
        </w:tc>
        <w:tc>
          <w:tcPr>
            <w:tcW w:type="dxa" w:w="1928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0,2583 ± 0,0066</w:t>
            </w:r>
          </w:p>
        </w:tc>
        <w:tc>
          <w:tcPr>
            <w:tcW w:type="dxa" w:w="1928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0,2391</w:t>
            </w:r>
          </w:p>
        </w:tc>
        <w:tc>
          <w:tcPr>
            <w:tcW w:type="dxa" w:w="1247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0,4197</w:t>
            </w:r>
          </w:p>
        </w:tc>
      </w:tr>
      <w:tr>
        <w:trPr>
          <w:cantSplit w:val="true"/>
        </w:trPr>
        <w:tc>
          <w:tcPr>
            <w:tcW w:type="dxa" w:w="4309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ExtraTrees, полный набор</w:t>
            </w:r>
          </w:p>
        </w:tc>
        <w:tc>
          <w:tcPr>
            <w:tcW w:type="dxa" w:w="1928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0,2499 ± 0,0209</w:t>
            </w:r>
          </w:p>
        </w:tc>
        <w:tc>
          <w:tcPr>
            <w:tcW w:type="dxa" w:w="1928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0,2374</w:t>
            </w:r>
          </w:p>
        </w:tc>
        <w:tc>
          <w:tcPr>
            <w:tcW w:type="dxa" w:w="1247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0,4234</w:t>
            </w:r>
          </w:p>
        </w:tc>
      </w:tr>
      <w:tr>
        <w:trPr>
          <w:cantSplit w:val="true"/>
        </w:trPr>
        <w:tc>
          <w:tcPr>
            <w:tcW w:type="dxa" w:w="4309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Логистическая регрессия, lean + content-LSA</w:t>
            </w:r>
          </w:p>
        </w:tc>
        <w:tc>
          <w:tcPr>
            <w:tcW w:type="dxa" w:w="1928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0,2466 ± 0,0191</w:t>
            </w:r>
          </w:p>
        </w:tc>
        <w:tc>
          <w:tcPr>
            <w:tcW w:type="dxa" w:w="1928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0,2349</w:t>
            </w:r>
          </w:p>
        </w:tc>
        <w:tc>
          <w:tcPr>
            <w:tcW w:type="dxa" w:w="1247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0,4030</w:t>
            </w:r>
          </w:p>
        </w:tc>
      </w:tr>
      <w:tr>
        <w:trPr>
          <w:cantSplit w:val="true"/>
        </w:trPr>
        <w:tc>
          <w:tcPr>
            <w:tcW w:type="dxa" w:w="4309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Логистическая регрессия,</w:t>
            </w: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 </w:t>
            </w:r>
            <w:r>
              <w:rPr>
                <w:rStyle w:val="VerbatimChar"/>
                <w:rFonts w:ascii="Times New Roman" w:hAnsi="Times New Roman" w:eastAsia="Times New Roman"/>
                <w:b w:val="0"/>
                <w:sz w:val="20"/>
              </w:rPr>
              <w:t xml:space="preserve">stylometry_pos_lsa</w:t>
            </w:r>
          </w:p>
        </w:tc>
        <w:tc>
          <w:tcPr>
            <w:tcW w:type="dxa" w:w="1928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0,1785 ± 0,0060</w:t>
            </w:r>
          </w:p>
        </w:tc>
        <w:tc>
          <w:tcPr>
            <w:tcW w:type="dxa" w:w="1928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0,1679</w:t>
            </w:r>
          </w:p>
        </w:tc>
        <w:tc>
          <w:tcPr>
            <w:tcW w:type="dxa" w:w="1247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0,3322</w:t>
            </w:r>
          </w:p>
        </w:tc>
      </w:tr>
      <w:tr>
        <w:trPr>
          <w:cantSplit w:val="true"/>
        </w:trPr>
        <w:tc>
          <w:tcPr>
            <w:tcW w:type="dxa" w:w="4309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Только ручные признаки</w:t>
            </w:r>
          </w:p>
        </w:tc>
        <w:tc>
          <w:tcPr>
            <w:tcW w:type="dxa" w:w="1928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0,1051 ± 0,0038</w:t>
            </w:r>
          </w:p>
        </w:tc>
        <w:tc>
          <w:tcPr>
            <w:tcW w:type="dxa" w:w="1928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0,1012</w:t>
            </w:r>
          </w:p>
        </w:tc>
        <w:tc>
          <w:tcPr>
            <w:tcW w:type="dxa" w:w="1247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0,2338</w:t>
            </w:r>
          </w:p>
        </w:tc>
      </w:tr>
      <w:tr>
        <w:trPr>
          <w:cantSplit w:val="true"/>
        </w:trPr>
        <w:tc>
          <w:tcPr>
            <w:tcW w:type="dxa" w:w="4309"/>
          </w:tcPr>
          <w:p>
            <w:pPr>
              <w:pStyle w:val="Compact"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Случайный уровень</w:t>
            </w:r>
          </w:p>
        </w:tc>
        <w:tc>
          <w:tcPr>
            <w:tcW w:type="dxa" w:w="1928"/>
          </w:tcPr>
          <w:p>
            <w:pPr>
              <w:pStyle w:val="Compact"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0,029</w:t>
            </w:r>
          </w:p>
        </w:tc>
        <w:tc>
          <w:tcPr>
            <w:tcW w:type="dxa" w:w="1928"/>
          </w:tcPr>
          <w:p>
            <w:pPr>
              <w:pStyle w:val="Compact"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0,029</w:t>
            </w:r>
          </w:p>
        </w:tc>
        <w:tc>
          <w:tcPr>
            <w:tcW w:type="dxa" w:w="1247"/>
          </w:tcPr>
          <w:p>
            <w:pPr>
              <w:pStyle w:val="Compact"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0,088</w:t>
            </w:r>
          </w:p>
        </w:tc>
      </w:tr>
    </w:tbl>
    <w:p>
      <w:pPr>
        <w:spacing w:before="0" w:after="0" w:line="240" w:lineRule="auto"/>
      </w:pPr>
      <w:r>
        <w:rPr>
          <w:sz w:val="8"/>
        </w:rPr>
      </w:r>
    </w:p>
    <w:p>
      <w:pPr>
        <w:pStyle w:val="BodyText"/>
      </w:pPr>
      <w:r>
        <w:t xml:space="preserve">На отложенной выборке 80/20 мягкое голосование дало</w:t>
      </w:r>
      <w:r>
        <w:t xml:space="preserve"> </w:t>
      </w:r>
      <w:r>
        <w:rPr>
          <w:b/>
          <w:bCs/>
        </w:rPr>
        <w:t xml:space="preserve">0,3333</w:t>
      </w:r>
      <w:r>
        <w:t xml:space="preserve">; ExtraTrees</w:t>
      </w:r>
      <w:r>
        <w:t xml:space="preserve"> </w:t>
      </w:r>
      <w:r>
        <w:t xml:space="preserve">на полном наборе — 0,2793; случайный лес с</w:t>
      </w:r>
      <w:r>
        <w:t xml:space="preserve"> </w:t>
      </w:r>
      <w:r>
        <w:rPr>
          <w:rStyle w:val="VerbatimChar"/>
        </w:rPr>
        <w:t xml:space="preserve">char_max_features=10000</w:t>
      </w:r>
      <w:r>
        <w:t xml:space="preserve"> </w:t>
      </w:r>
      <w:r>
        <w:t xml:space="preserve">—</w:t>
      </w:r>
      <w:r>
        <w:t xml:space="preserve"> </w:t>
      </w:r>
      <w:r>
        <w:t xml:space="preserve">0,2554; логистическая регрессия с content-LSA — 0,2459.</w:t>
      </w:r>
    </w:p>
    <w:p>
      <w:pPr>
        <w:pStyle w:val="CaptionedFigure"/>
      </w:pPr>
      <w:r>
        <w:drawing>
          <wp:inline>
            <wp:extent cx="4373880" cy="2365050"/>
            <wp:effectExtent b="0" l="0" r="0" t="0"/>
            <wp:docPr descr="Сравнение моделей" title="" id="60" name="Picture"/>
            <a:graphic>
              <a:graphicData uri="http://schemas.openxmlformats.org/drawingml/2006/picture">
                <pic:pic>
                  <pic:nvPicPr>
                    <pic:cNvPr descr="figures/model_comparison.png" id="61" name="Picture"/>
                    <pic:cNvPicPr>
                      <a:picLocks noChangeArrowheads="1"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3880" cy="23650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rPr>
          <w:rFonts w:ascii="Times New Roman" w:hAnsi="Times New Roman" w:eastAsia="Times New Roman"/>
          <w:i/>
          <w:color w:val="555555"/>
          <w:sz w:val="20"/>
        </w:rPr>
        <w:t>Рисунок 4. Сравнение моделей</w:t>
      </w:r>
    </w:p>
    <w:bookmarkEnd w:id="62"/>
    <w:bookmarkStart w:id="66" w:name="вклад-признаков"/>
    <w:p>
      <w:pPr>
        <w:pStyle w:val="Heading2"/>
      </w:pPr>
      <w:r>
        <w:t xml:space="preserve">6.2. Вклад признаков</w:t>
      </w:r>
    </w:p>
    <w:p>
      <w:pPr>
        <w:pStyle w:val="TableCaption"/>
        <w:keepNext/>
        <w:spacing w:before="200" w:after="80"/>
        <w:ind w:firstLine="0"/>
      </w:pPr>
      <w:r>
        <w:rPr>
          <w:rFonts w:ascii="Times New Roman" w:hAnsi="Times New Roman" w:eastAsia="Times New Roman"/>
          <w:b/>
          <w:color w:val="1A1A1A"/>
          <w:sz w:val="20"/>
        </w:rPr>
        <w:t>Таблица 7. Вклад групп признаков</w:t>
      </w:r>
    </w:p>
    <w:tbl>
      <w:tblPr>
        <w:tblStyle w:val="Table"/>
        <w:tblW w:type="auto" w:w="0"/>
        <w:jc w:val="center"/>
        <w:tblLayout w:type="fixed"/>
        <w:tblLook w:firstRow="1" w:lastRow="0" w:firstColumn="0" w:lastColumn="0" w:noHBand="0" w:noVBand="0" w:val="0020"/>
        <w:tblBorders>
          <w:top w:val="single" w:sz="4" w:space="0" w:color="B8A88F"/>
          <w:left w:val="single" w:sz="4" w:space="0" w:color="B8A88F"/>
          <w:bottom w:val="single" w:sz="4" w:space="0" w:color="B8A88F"/>
          <w:right w:val="single" w:sz="4" w:space="0" w:color="B8A88F"/>
          <w:insideH w:val="single" w:sz="4" w:space="0" w:color="B8A88F"/>
          <w:insideV w:val="single" w:sz="4" w:space="0" w:color="B8A88F"/>
        </w:tblBorders>
        <w:tblCellMar>
          <w:top w:w="60" w:type="dxa"/>
          <w:left w:w="90" w:type="dxa"/>
          <w:bottom w:w="60" w:type="dxa"/>
          <w:right w:w="90" w:type="dxa"/>
        </w:tblCellMar>
        <w:tblW w:type="pct" w:w="100%"/>
        <w:tblLayout w:type="fixed"/>
      </w:tblPr>
      <w:tblGrid>
        <w:gridCol w:w="5443"/>
        <w:gridCol w:w="3969"/>
      </w:tblGrid>
      <w:tr>
        <w:trPr>
          <w:tblHeader w:val="on"/>
          <w:tblHeader w:val="true"/>
          <w:cantSplit w:val="true"/>
        </w:trPr>
        <w:tc>
          <w:tcPr>
            <w:tcW w:type="dxa" w:w="5443"/>
            <w:shd w:val="clear" w:color="auto" w:fill="F1E8D8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/>
                <w:sz w:val="20"/>
              </w:rPr>
              <w:t xml:space="preserve">Условие</w:t>
            </w:r>
          </w:p>
        </w:tc>
        <w:tc>
          <w:tcPr>
            <w:tcW w:type="dxa" w:w="3969"/>
            <w:shd w:val="clear" w:color="auto" w:fill="F1E8D8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/>
                <w:sz w:val="20"/>
              </w:rPr>
              <w:t xml:space="preserve">Macro-F1</w:t>
            </w:r>
          </w:p>
        </w:tc>
      </w:tr>
      <w:tr>
        <w:trPr>
          <w:cantSplit w:val="true"/>
        </w:trPr>
        <w:tc>
          <w:tcPr>
            <w:tcW w:type="dxa" w:w="5443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Только длина</w:t>
            </w:r>
          </w:p>
        </w:tc>
        <w:tc>
          <w:tcPr>
            <w:tcW w:type="dxa" w:w="3969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0,035</w:t>
            </w:r>
          </w:p>
        </w:tc>
      </w:tr>
      <w:tr>
        <w:trPr>
          <w:cantSplit w:val="true"/>
        </w:trPr>
        <w:tc>
          <w:tcPr>
            <w:tcW w:type="dxa" w:w="5443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Только ручные стилометрические признаки</w:t>
            </w:r>
          </w:p>
        </w:tc>
        <w:tc>
          <w:tcPr>
            <w:tcW w:type="dxa" w:w="3969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0,105</w:t>
            </w:r>
          </w:p>
        </w:tc>
      </w:tr>
      <w:tr>
        <w:trPr>
          <w:cantSplit w:val="true"/>
        </w:trPr>
        <w:tc>
          <w:tcPr>
            <w:tcW w:type="dxa" w:w="5443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Ручные + символьные и частеречные n-граммы</w:t>
            </w:r>
          </w:p>
        </w:tc>
        <w:tc>
          <w:tcPr>
            <w:tcW w:type="dxa" w:w="3969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0,182</w:t>
            </w:r>
          </w:p>
        </w:tc>
      </w:tr>
      <w:tr>
        <w:trPr>
          <w:cantSplit w:val="true"/>
        </w:trPr>
        <w:tc>
          <w:tcPr>
            <w:tcW w:type="dxa" w:w="5443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То же +</w:t>
            </w: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 </w:t>
            </w:r>
            <w:r>
              <w:rPr>
                <w:rStyle w:val="VerbatimChar"/>
                <w:rFonts w:ascii="Times New Roman" w:hAnsi="Times New Roman" w:eastAsia="Times New Roman"/>
                <w:b w:val="0"/>
                <w:sz w:val="20"/>
              </w:rPr>
              <w:t xml:space="preserve">content</w:t>
            </w: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-LSA</w:t>
            </w:r>
          </w:p>
        </w:tc>
        <w:tc>
          <w:tcPr>
            <w:tcW w:type="dxa" w:w="3969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0,249</w:t>
            </w:r>
          </w:p>
        </w:tc>
      </w:tr>
      <w:tr>
        <w:trPr>
          <w:cantSplit w:val="true"/>
        </w:trPr>
        <w:tc>
          <w:tcPr>
            <w:tcW w:type="dxa" w:w="5443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ExtraTrees с расширенным символьным словарём</w:t>
            </w:r>
          </w:p>
        </w:tc>
        <w:tc>
          <w:tcPr>
            <w:tcW w:type="dxa" w:w="3969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0,276</w:t>
            </w:r>
          </w:p>
        </w:tc>
      </w:tr>
      <w:tr>
        <w:trPr>
          <w:cantSplit w:val="true"/>
        </w:trPr>
        <w:tc>
          <w:tcPr>
            <w:tcW w:type="dxa" w:w="5443"/>
          </w:tcPr>
          <w:p>
            <w:pPr>
              <w:pStyle w:val="Compact"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Мягкое голосование</w:t>
            </w:r>
          </w:p>
        </w:tc>
        <w:tc>
          <w:tcPr>
            <w:tcW w:type="dxa" w:w="3969"/>
          </w:tcPr>
          <w:p>
            <w:pPr>
              <w:pStyle w:val="Compact"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0,304</w:t>
            </w:r>
          </w:p>
        </w:tc>
      </w:tr>
    </w:tbl>
    <w:p>
      <w:pPr>
        <w:spacing w:before="0" w:after="0" w:line="240" w:lineRule="auto"/>
      </w:pPr>
      <w:r>
        <w:rPr>
          <w:sz w:val="8"/>
        </w:rPr>
      </w:r>
    </w:p>
    <w:p>
      <w:pPr>
        <w:pStyle w:val="CaptionedFigure"/>
      </w:pPr>
      <w:r>
        <w:drawing>
          <wp:inline>
            <wp:extent cx="3840480" cy="2021004"/>
            <wp:effectExtent b="0" l="0" r="0" t="0"/>
            <wp:docPr descr="Вклад признаков" title="" id="64" name="Picture"/>
            <a:graphic>
              <a:graphicData uri="http://schemas.openxmlformats.org/drawingml/2006/picture">
                <pic:pic>
                  <pic:nvPicPr>
                    <pic:cNvPr descr="figures/feature_progression.png" id="65" name="Picture"/>
                    <pic:cNvPicPr>
                      <a:picLocks noChangeArrowheads="1"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480" cy="202100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rPr>
          <w:rFonts w:ascii="Times New Roman" w:hAnsi="Times New Roman" w:eastAsia="Times New Roman"/>
          <w:i/>
          <w:color w:val="555555"/>
          <w:sz w:val="20"/>
        </w:rPr>
        <w:t>Рисунок 5. Вклад признаков</w:t>
      </w:r>
    </w:p>
    <w:p>
      <w:pPr>
        <w:pStyle w:val="BodyText"/>
      </w:pPr>
      <w:r>
        <w:t xml:space="preserve">Основной прирост дают символьные n-граммы, лексика и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-LSA.</w:t>
      </w:r>
      <w:r>
        <w:t xml:space="preserve"> </w:t>
      </w:r>
      <w:r>
        <w:t xml:space="preserve">Функциональные слова и POS-LSA сами по себе слабы (0,06–0,07): это важный</w:t>
      </w:r>
      <w:r>
        <w:t xml:space="preserve"> </w:t>
      </w:r>
      <w:r>
        <w:t xml:space="preserve">отрицательный результат.</w:t>
      </w:r>
    </w:p>
    <w:bookmarkEnd w:id="66"/>
    <w:bookmarkStart w:id="70" w:name="стиль-или-содержание"/>
    <w:p>
      <w:pPr>
        <w:pStyle w:val="Heading2"/>
      </w:pPr>
      <w:r>
        <w:t xml:space="preserve">6.3. Стиль или содержание</w:t>
      </w:r>
    </w:p>
    <w:p>
      <w:pPr>
        <w:pStyle w:val="FirstParagraph"/>
      </w:pPr>
      <w:r>
        <w:t xml:space="preserve">Содержательные слова (существительные, глаголы, прилагательные, наречия,</w:t>
      </w:r>
      <w:r>
        <w:t xml:space="preserve"> </w:t>
      </w:r>
      <w:r>
        <w:t xml:space="preserve">числительные) заменялись нейтральным маркером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; служебные слова,</w:t>
      </w:r>
      <w:r>
        <w:t xml:space="preserve"> </w:t>
      </w:r>
      <w:r>
        <w:t xml:space="preserve">пунктуация и частеречные теги сохранялись.</w:t>
      </w:r>
    </w:p>
    <w:p>
      <w:pPr>
        <w:pStyle w:val="TableCaption"/>
        <w:keepNext/>
        <w:spacing w:before="200" w:after="80"/>
        <w:ind w:firstLine="0"/>
      </w:pPr>
      <w:r>
        <w:rPr>
          <w:rFonts w:ascii="Times New Roman" w:hAnsi="Times New Roman" w:eastAsia="Times New Roman"/>
          <w:b/>
          <w:color w:val="1A1A1A"/>
          <w:sz w:val="20"/>
        </w:rPr>
        <w:t>Таблица 8. Контроль содержания: исходный и маскированный текст</w:t>
      </w:r>
    </w:p>
    <w:tbl>
      <w:tblPr>
        <w:tblStyle w:val="Table"/>
        <w:tblW w:type="auto" w:w="0"/>
        <w:jc w:val="center"/>
        <w:tblLayout w:type="fixed"/>
        <w:tblLook w:firstRow="1" w:lastRow="0" w:firstColumn="0" w:lastColumn="0" w:noHBand="0" w:noVBand="0" w:val="0020"/>
        <w:tblBorders>
          <w:top w:val="single" w:sz="4" w:space="0" w:color="B8A88F"/>
          <w:left w:val="single" w:sz="4" w:space="0" w:color="B8A88F"/>
          <w:bottom w:val="single" w:sz="4" w:space="0" w:color="B8A88F"/>
          <w:right w:val="single" w:sz="4" w:space="0" w:color="B8A88F"/>
          <w:insideH w:val="single" w:sz="4" w:space="0" w:color="B8A88F"/>
          <w:insideV w:val="single" w:sz="4" w:space="0" w:color="B8A88F"/>
        </w:tblBorders>
        <w:tblCellMar>
          <w:top w:w="60" w:type="dxa"/>
          <w:left w:w="90" w:type="dxa"/>
          <w:bottom w:w="60" w:type="dxa"/>
          <w:right w:w="90" w:type="dxa"/>
        </w:tblCellMar>
        <w:tblW w:type="pct" w:w="100%"/>
        <w:tblLayout w:type="fixed"/>
      </w:tblPr>
      <w:tblGrid>
        <w:gridCol w:w="5669"/>
        <w:gridCol w:w="3742"/>
      </w:tblGrid>
      <w:tr>
        <w:trPr>
          <w:tblHeader w:val="on"/>
          <w:tblHeader w:val="true"/>
          <w:cantSplit w:val="true"/>
        </w:trPr>
        <w:tc>
          <w:tcPr>
            <w:tcW w:type="dxa" w:w="5669"/>
            <w:shd w:val="clear" w:color="auto" w:fill="F1E8D8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/>
                <w:sz w:val="20"/>
              </w:rPr>
              <w:t xml:space="preserve">Условие</w:t>
            </w:r>
          </w:p>
        </w:tc>
        <w:tc>
          <w:tcPr>
            <w:tcW w:type="dxa" w:w="3742"/>
            <w:shd w:val="clear" w:color="auto" w:fill="F1E8D8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/>
                <w:sz w:val="20"/>
              </w:rPr>
              <w:t xml:space="preserve">Macro-F1</w:t>
            </w:r>
          </w:p>
        </w:tc>
      </w:tr>
      <w:tr>
        <w:trPr>
          <w:cantSplit w:val="true"/>
        </w:trPr>
        <w:tc>
          <w:tcPr>
            <w:tcW w:type="dxa" w:w="5669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Исходный текст, стилевой набор, ExtraTrees</w:t>
            </w:r>
          </w:p>
        </w:tc>
        <w:tc>
          <w:tcPr>
            <w:tcW w:type="dxa" w:w="3742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0,2483</w:t>
            </w:r>
          </w:p>
        </w:tc>
      </w:tr>
      <w:tr>
        <w:trPr>
          <w:cantSplit w:val="true"/>
        </w:trPr>
        <w:tc>
          <w:tcPr>
            <w:tcW w:type="dxa" w:w="5669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Маскированный текст, стилевой набор, ExtraTrees</w:t>
            </w:r>
          </w:p>
        </w:tc>
        <w:tc>
          <w:tcPr>
            <w:tcW w:type="dxa" w:w="3742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0,1129</w:t>
            </w:r>
          </w:p>
        </w:tc>
      </w:tr>
      <w:tr>
        <w:trPr>
          <w:cantSplit w:val="true"/>
        </w:trPr>
        <w:tc>
          <w:tcPr>
            <w:tcW w:type="dxa" w:w="5669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Исходный текст, стилевой набор, LogReg</w:t>
            </w:r>
          </w:p>
        </w:tc>
        <w:tc>
          <w:tcPr>
            <w:tcW w:type="dxa" w:w="3742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0,1467</w:t>
            </w:r>
          </w:p>
        </w:tc>
      </w:tr>
      <w:tr>
        <w:trPr>
          <w:cantSplit w:val="true"/>
        </w:trPr>
        <w:tc>
          <w:tcPr>
            <w:tcW w:type="dxa" w:w="5669"/>
          </w:tcPr>
          <w:p>
            <w:pPr>
              <w:pStyle w:val="Compact"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Маскированный текст, стилевой набор, LogReg</w:t>
            </w:r>
          </w:p>
        </w:tc>
        <w:tc>
          <w:tcPr>
            <w:tcW w:type="dxa" w:w="3742"/>
          </w:tcPr>
          <w:p>
            <w:pPr>
              <w:pStyle w:val="Compact"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0,1067</w:t>
            </w:r>
          </w:p>
        </w:tc>
      </w:tr>
    </w:tbl>
    <w:p>
      <w:pPr>
        <w:spacing w:before="0" w:after="0" w:line="240" w:lineRule="auto"/>
      </w:pPr>
      <w:r>
        <w:rPr>
          <w:sz w:val="8"/>
        </w:rPr>
      </w:r>
    </w:p>
    <w:p>
      <w:pPr>
        <w:pStyle w:val="CaptionedFigure"/>
      </w:pPr>
      <w:r>
        <w:drawing>
          <wp:inline>
            <wp:extent cx="3627120" cy="2052002"/>
            <wp:effectExtent b="0" l="0" r="0" t="0"/>
            <wp:docPr descr="Контроль содержания" title="" id="68" name="Picture"/>
            <a:graphic>
              <a:graphicData uri="http://schemas.openxmlformats.org/drawingml/2006/picture">
                <pic:pic>
                  <pic:nvPicPr>
                    <pic:cNvPr descr="figures/topic_control.png" id="69" name="Picture"/>
                    <pic:cNvPicPr>
                      <a:picLocks noChangeArrowheads="1"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205200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rPr>
          <w:rFonts w:ascii="Times New Roman" w:hAnsi="Times New Roman" w:eastAsia="Times New Roman"/>
          <w:i/>
          <w:color w:val="555555"/>
          <w:sz w:val="20"/>
        </w:rPr>
        <w:t>Рисунок 6. Контроль содержания</w:t>
      </w:r>
    </w:p>
    <w:p>
      <w:pPr>
        <w:pStyle w:val="BodyText"/>
      </w:pPr>
      <w:r>
        <w:t xml:space="preserve">Падение более чем вдвое показывает, что значительная часть качества связана</w:t>
      </w:r>
      <w:r>
        <w:t xml:space="preserve"> </w:t>
      </w:r>
      <w:r>
        <w:t xml:space="preserve">с лексическим содержанием. Остаток 0,113 всё ещё в 3,9 раза выше случайного</w:t>
      </w:r>
      <w:r>
        <w:t xml:space="preserve"> </w:t>
      </w:r>
      <w:r>
        <w:t xml:space="preserve">уровня: некоторый стилевой сигнал сохраняется, но он слабее тематического.</w:t>
      </w:r>
    </w:p>
    <w:bookmarkEnd w:id="70"/>
    <w:bookmarkStart w:id="77" w:name="матрицы-ошибок"/>
    <w:p>
      <w:pPr>
        <w:pStyle w:val="Heading2"/>
      </w:pPr>
      <w:r>
        <w:t xml:space="preserve">6.4. Матрицы ошибок</w:t>
      </w:r>
    </w:p>
    <w:p>
      <w:pPr>
        <w:pStyle w:val="FirstParagraph"/>
      </w:pPr>
      <w:r>
        <w:t xml:space="preserve">Строки матрицы — истинный персонаж, столбцы — предсказание модели, диагональ</w:t>
      </w:r>
      <w:r>
        <w:t xml:space="preserve"> </w:t>
      </w:r>
      <w:r>
        <w:t xml:space="preserve">— правильные ответы, вне диагонали — ошибки. Полная матрица 34×34 на доске</w:t>
      </w:r>
      <w:r>
        <w:t xml:space="preserve"> </w:t>
      </w:r>
      <w:r>
        <w:t xml:space="preserve">нечитаема; поэтому в основном тексте показаны 12 самых частых персонажей и</w:t>
      </w:r>
      <w:r>
        <w:t xml:space="preserve"> </w:t>
      </w:r>
      <w:r>
        <w:t xml:space="preserve">столбец «прочие», а также 18 самых частых пар ошибок.</w:t>
      </w:r>
    </w:p>
    <w:p>
      <w:pPr>
        <w:pStyle w:val="CaptionedFigure"/>
      </w:pPr>
      <w:r>
        <w:drawing>
          <wp:inline>
            <wp:extent cx="4907280" cy="2875118"/>
            <wp:effectExtent b="0" l="0" r="0" t="0"/>
            <wp:docPr descr="Матрица ошибок: 12 персонажей" title="" id="72" name="Picture"/>
            <a:graphic>
              <a:graphicData uri="http://schemas.openxmlformats.org/drawingml/2006/picture">
                <pic:pic>
                  <pic:nvPicPr>
                    <pic:cNvPr descr="figures/confusion_top12.png" id="73" name="Picture"/>
                    <pic:cNvPicPr>
                      <a:picLocks noChangeArrowheads="1"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287511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rPr>
          <w:rFonts w:ascii="Times New Roman" w:hAnsi="Times New Roman" w:eastAsia="Times New Roman"/>
          <w:i/>
          <w:color w:val="555555"/>
          <w:sz w:val="20"/>
        </w:rPr>
        <w:t>Рисунок 7. Матрица ошибок: 12 персонажей</w:t>
      </w:r>
    </w:p>
    <w:p>
      <w:pPr>
        <w:pStyle w:val="CaptionedFigure"/>
      </w:pPr>
      <w:r>
        <w:drawing>
          <wp:inline>
            <wp:extent cx="4907280" cy="2770789"/>
            <wp:effectExtent b="0" l="0" r="0" t="0"/>
            <wp:docPr descr="Самые частые пары ошибок" title="" id="75" name="Picture"/>
            <a:graphic>
              <a:graphicData uri="http://schemas.openxmlformats.org/drawingml/2006/picture">
                <pic:pic>
                  <pic:nvPicPr>
                    <pic:cNvPr descr="figures/confusion_pairs.png" id="76" name="Picture"/>
                    <pic:cNvPicPr>
                      <a:picLocks noChangeArrowheads="1"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277078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rPr>
          <w:rFonts w:ascii="Times New Roman" w:hAnsi="Times New Roman" w:eastAsia="Times New Roman"/>
          <w:i/>
          <w:color w:val="555555"/>
          <w:sz w:val="20"/>
        </w:rPr>
        <w:t>Рисунок 8. Самые частые пары ошибок</w:t>
      </w:r>
    </w:p>
    <w:p>
      <w:pPr>
        <w:pStyle w:val="BodyText"/>
      </w:pPr>
      <w:r>
        <w:t xml:space="preserve">Основные пары ошибок (за три повтора): Sebastian → Abigail (65),</w:t>
      </w:r>
      <w:r>
        <w:t xml:space="preserve"> </w:t>
      </w:r>
      <w:r>
        <w:t xml:space="preserve">Sebastian → Alex (61), Abigail → Sebastian (59), Abigail → Alex (56).</w:t>
      </w:r>
      <w:r>
        <w:t xml:space="preserve"> </w:t>
      </w:r>
      <w:r>
        <w:t xml:space="preserve">Крупнейший клубок — молодые персонажи Abigail, Alex, Sebastian, Haley, Sam.</w:t>
      </w:r>
      <w:r>
        <w:t xml:space="preserve"> </w:t>
      </w:r>
      <w:r>
        <w:t xml:space="preserve">Многие из них писались в одних и тех же обновлениях и сюжетных контекстах,</w:t>
      </w:r>
      <w:r>
        <w:t xml:space="preserve"> </w:t>
      </w:r>
      <w:r>
        <w:t xml:space="preserve">поэтому сходство голосов ожидаемо; это не разные авторы.</w:t>
      </w:r>
    </w:p>
    <w:bookmarkEnd w:id="77"/>
    <w:bookmarkStart w:id="84" w:name="ошибки-по-персонажам"/>
    <w:p>
      <w:pPr>
        <w:pStyle w:val="Heading2"/>
      </w:pPr>
      <w:r>
        <w:t xml:space="preserve">6.5. Ошибки по персонажам</w:t>
      </w:r>
    </w:p>
    <w:p>
      <w:pPr>
        <w:pStyle w:val="CaptionedFigure"/>
      </w:pPr>
      <w:r>
        <w:drawing>
          <wp:inline>
            <wp:extent cx="4907280" cy="2626746"/>
            <wp:effectExtent b="0" l="0" r="0" t="0"/>
            <wp:docPr descr="F-мера по персонажам" title="" id="79" name="Picture"/>
            <a:graphic>
              <a:graphicData uri="http://schemas.openxmlformats.org/drawingml/2006/picture">
                <pic:pic>
                  <pic:nvPicPr>
                    <pic:cNvPr descr="figures/per_class_f1.png" id="80" name="Picture"/>
                    <pic:cNvPicPr>
                      <a:picLocks noChangeArrowheads="1" noChangeAspect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262674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rPr>
          <w:rFonts w:ascii="Times New Roman" w:hAnsi="Times New Roman" w:eastAsia="Times New Roman"/>
          <w:i/>
          <w:color w:val="555555"/>
          <w:sz w:val="20"/>
        </w:rPr>
        <w:t>Рисунок 9. F-мера по персонажам</w:t>
      </w:r>
    </w:p>
    <w:p>
      <w:pPr>
        <w:pStyle w:val="BodyText"/>
      </w:pPr>
      <w:r>
        <w:t xml:space="preserve">Лучшие результаты по F-мере: Willy, Evelyn, Pierre, Pam, Leo, Vincent.</w:t>
      </w:r>
      <w:r>
        <w:t xml:space="preserve"> </w:t>
      </w:r>
      <w:r>
        <w:t xml:space="preserve">Худшие: Kent, Mister Qi, Penny, Abigail, Leah, Jodi. Редкие классы имеют</w:t>
      </w:r>
      <w:r>
        <w:t xml:space="preserve"> </w:t>
      </w:r>
      <w:r>
        <w:t xml:space="preserve">широкие интервалы; у Mister Qi всего 15 реплик.</w:t>
      </w:r>
    </w:p>
    <w:p>
      <w:pPr>
        <w:pStyle w:val="BodyText"/>
      </w:pPr>
      <w:r>
        <w:t xml:space="preserve">Abigail и Alex являются классами-аттракторами: модель ошибочно относит к ним</w:t>
      </w:r>
      <w:r>
        <w:t xml:space="preserve"> </w:t>
      </w:r>
      <w:r>
        <w:t xml:space="preserve">чужие реплики. Abigail получает 10–18% всех предсказаний при истинной доле</w:t>
      </w:r>
      <w:r>
        <w:t xml:space="preserve"> </w:t>
      </w:r>
      <w:r>
        <w:t xml:space="preserve">около 6,9%. Простая коррекция априорных вероятностей классов не улучшила</w:t>
      </w:r>
      <w:r>
        <w:t xml:space="preserve"> </w:t>
      </w:r>
      <w:r>
        <w:t xml:space="preserve">macro-F1.</w:t>
      </w:r>
    </w:p>
    <w:p>
      <w:pPr>
        <w:pStyle w:val="CaptionedFigure"/>
      </w:pPr>
      <w:r>
        <w:drawing>
          <wp:inline>
            <wp:extent cx="4693920" cy="2312895"/>
            <wp:effectExtent b="0" l="0" r="0" t="0"/>
            <wp:docPr descr="Классы-аттракторы" title="" id="82" name="Picture"/>
            <a:graphic>
              <a:graphicData uri="http://schemas.openxmlformats.org/drawingml/2006/picture">
                <pic:pic>
                  <pic:nvPicPr>
                    <pic:cNvPr descr="figures/hub_shares.png" id="83" name="Picture"/>
                    <pic:cNvPicPr>
                      <a:picLocks noChangeArrowheads="1" noChangeAspect="1"/>
                    </pic:cNvPicPr>
                  </pic:nvPicPr>
                  <pic:blipFill>
                    <a:blip r:embed="rId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3920" cy="23128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rPr>
          <w:rFonts w:ascii="Times New Roman" w:hAnsi="Times New Roman" w:eastAsia="Times New Roman"/>
          <w:i/>
          <w:color w:val="555555"/>
          <w:sz w:val="20"/>
        </w:rPr>
        <w:t>Рисунок 10. Классы-аттракторы</w:t>
      </w:r>
    </w:p>
    <w:bookmarkEnd w:id="84"/>
    <w:bookmarkStart w:id="85" w:name="длина-реплики"/>
    <w:p>
      <w:pPr>
        <w:pStyle w:val="Heading2"/>
      </w:pPr>
      <w:r>
        <w:t xml:space="preserve">6.6. Длина реплики</w:t>
      </w:r>
    </w:p>
    <w:p>
      <w:pPr>
        <w:pStyle w:val="TableCaption"/>
        <w:keepNext/>
        <w:spacing w:before="200" w:after="80"/>
        <w:ind w:firstLine="0"/>
      </w:pPr>
      <w:r>
        <w:rPr>
          <w:rFonts w:ascii="Times New Roman" w:hAnsi="Times New Roman" w:eastAsia="Times New Roman"/>
          <w:b/>
          <w:color w:val="1A1A1A"/>
          <w:sz w:val="20"/>
        </w:rPr>
        <w:t>Таблица 9. Качество классификации по длине реплики</w:t>
      </w:r>
    </w:p>
    <w:tbl>
      <w:tblPr>
        <w:tblStyle w:val="Table"/>
        <w:tblW w:type="auto" w:w="0"/>
        <w:jc w:val="center"/>
        <w:tblLayout w:type="fixed"/>
        <w:tblLook w:firstRow="1" w:lastRow="0" w:firstColumn="0" w:lastColumn="0" w:noHBand="0" w:noVBand="0" w:val="0020"/>
        <w:tblBorders>
          <w:top w:val="single" w:sz="4" w:space="0" w:color="B8A88F"/>
          <w:left w:val="single" w:sz="4" w:space="0" w:color="B8A88F"/>
          <w:bottom w:val="single" w:sz="4" w:space="0" w:color="B8A88F"/>
          <w:right w:val="single" w:sz="4" w:space="0" w:color="B8A88F"/>
          <w:insideH w:val="single" w:sz="4" w:space="0" w:color="B8A88F"/>
          <w:insideV w:val="single" w:sz="4" w:space="0" w:color="B8A88F"/>
        </w:tblBorders>
        <w:tblCellMar>
          <w:top w:w="60" w:type="dxa"/>
          <w:left w:w="90" w:type="dxa"/>
          <w:bottom w:w="60" w:type="dxa"/>
          <w:right w:w="90" w:type="dxa"/>
        </w:tblCellMar>
        <w:tblW w:type="pct" w:w="100%"/>
        <w:tblLayout w:type="fixed"/>
      </w:tblPr>
      <w:tblGrid>
        <w:gridCol w:w="6576"/>
        <w:gridCol w:w="2835"/>
      </w:tblGrid>
      <w:tr>
        <w:trPr>
          <w:tblHeader w:val="on"/>
          <w:tblHeader w:val="true"/>
          <w:cantSplit w:val="true"/>
        </w:trPr>
        <w:tc>
          <w:tcPr>
            <w:tcW w:type="dxa" w:w="6576"/>
            <w:shd w:val="clear" w:color="auto" w:fill="F1E8D8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/>
                <w:sz w:val="20"/>
              </w:rPr>
              <w:t xml:space="preserve">Длина</w:t>
            </w:r>
          </w:p>
        </w:tc>
        <w:tc>
          <w:tcPr>
            <w:tcW w:type="dxa" w:w="2835"/>
            <w:shd w:val="clear" w:color="auto" w:fill="F1E8D8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/>
                <w:sz w:val="20"/>
              </w:rPr>
              <w:t xml:space="preserve">Macro-F1</w:t>
            </w:r>
          </w:p>
        </w:tc>
      </w:tr>
      <w:tr>
        <w:trPr>
          <w:cantSplit w:val="true"/>
        </w:trPr>
        <w:tc>
          <w:tcPr>
            <w:tcW w:type="dxa" w:w="6576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0–5 слов</w:t>
            </w:r>
          </w:p>
        </w:tc>
        <w:tc>
          <w:tcPr>
            <w:tcW w:type="dxa" w:w="2835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0,097</w:t>
            </w:r>
          </w:p>
        </w:tc>
      </w:tr>
      <w:tr>
        <w:trPr>
          <w:cantSplit w:val="true"/>
        </w:trPr>
        <w:tc>
          <w:tcPr>
            <w:tcW w:type="dxa" w:w="6576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6–10</w:t>
            </w:r>
          </w:p>
        </w:tc>
        <w:tc>
          <w:tcPr>
            <w:tcW w:type="dxa" w:w="2835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0,244</w:t>
            </w:r>
          </w:p>
        </w:tc>
      </w:tr>
      <w:tr>
        <w:trPr>
          <w:cantSplit w:val="true"/>
        </w:trPr>
        <w:tc>
          <w:tcPr>
            <w:tcW w:type="dxa" w:w="6576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11–15</w:t>
            </w:r>
          </w:p>
        </w:tc>
        <w:tc>
          <w:tcPr>
            <w:tcW w:type="dxa" w:w="2835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0,233</w:t>
            </w:r>
          </w:p>
        </w:tc>
      </w:tr>
      <w:tr>
        <w:trPr>
          <w:cantSplit w:val="true"/>
        </w:trPr>
        <w:tc>
          <w:tcPr>
            <w:tcW w:type="dxa" w:w="6576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16–20</w:t>
            </w:r>
          </w:p>
        </w:tc>
        <w:tc>
          <w:tcPr>
            <w:tcW w:type="dxa" w:w="2835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0,239</w:t>
            </w:r>
          </w:p>
        </w:tc>
      </w:tr>
      <w:tr>
        <w:trPr>
          <w:cantSplit w:val="true"/>
        </w:trPr>
        <w:tc>
          <w:tcPr>
            <w:tcW w:type="dxa" w:w="6576"/>
          </w:tcPr>
          <w:p>
            <w:pPr>
              <w:pStyle w:val="Compact"/>
              <w:keepNext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21–30</w:t>
            </w:r>
          </w:p>
        </w:tc>
        <w:tc>
          <w:tcPr>
            <w:tcW w:type="dxa" w:w="2835"/>
          </w:tcPr>
          <w:p>
            <w:pPr>
              <w:pStyle w:val="Compact"/>
              <w:keepNext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0,295</w:t>
            </w:r>
          </w:p>
        </w:tc>
      </w:tr>
      <w:tr>
        <w:trPr>
          <w:cantSplit w:val="true"/>
        </w:trPr>
        <w:tc>
          <w:tcPr>
            <w:tcW w:type="dxa" w:w="6576"/>
          </w:tcPr>
          <w:p>
            <w:pPr>
              <w:pStyle w:val="Compact"/>
              <w:spacing w:before="20" w:after="20" w:line="240" w:lineRule="auto"/>
              <w:ind w:firstLine="0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31+</w:t>
            </w:r>
          </w:p>
        </w:tc>
        <w:tc>
          <w:tcPr>
            <w:tcW w:type="dxa" w:w="2835"/>
          </w:tcPr>
          <w:p>
            <w:pPr>
              <w:pStyle w:val="Compact"/>
              <w:spacing w:before="20" w:after="20" w:line="240" w:lineRule="auto"/>
              <w:ind w:firstLine="0"/>
              <w:jc w:val="right"/>
            </w:pPr>
            <w:r>
              <w:rPr>
                <w:rFonts w:ascii="Times New Roman" w:hAnsi="Times New Roman" w:eastAsia="Times New Roman"/>
                <w:b w:val="0"/>
                <w:sz w:val="20"/>
              </w:rPr>
              <w:t xml:space="preserve">0,271</w:t>
            </w:r>
          </w:p>
        </w:tc>
      </w:tr>
    </w:tbl>
    <w:p>
      <w:pPr>
        <w:spacing w:before="0" w:after="0" w:line="240" w:lineRule="auto"/>
      </w:pPr>
      <w:r>
        <w:rPr>
          <w:sz w:val="8"/>
        </w:rPr>
      </w:r>
    </w:p>
    <w:p>
      <w:pPr>
        <w:pStyle w:val="BodyText"/>
      </w:pPr>
      <w:r>
        <w:t xml:space="preserve">Зависимость немонотонная: максимум приходится на 21–30 слов, после 30 слов</w:t>
      </w:r>
      <w:r>
        <w:t xml:space="preserve"> </w:t>
      </w:r>
      <w:r>
        <w:t xml:space="preserve">качество снижается. Гипотеза «чем длиннее, тем лучше» не подтверждается.</w:t>
      </w:r>
    </w:p>
    <w:bookmarkEnd w:id="85"/>
    <w:bookmarkStart w:id="86" w:name="верификация-и-кластеризация"/>
    <w:p>
      <w:pPr>
        <w:pStyle w:val="Heading2"/>
      </w:pPr>
      <w:r>
        <w:t xml:space="preserve">6.7. Верификация и кластеризация</w:t>
      </w:r>
    </w:p>
    <w:p>
      <w:pPr>
        <w:pStyle w:val="Compact"/>
        <w:numPr>
          <w:ilvl w:val="0"/>
          <w:numId w:val="1009"/>
        </w:numPr>
      </w:pPr>
      <w:r>
        <w:t xml:space="preserve">Верификация «свой/чужой»: ROC-AUC 0,630–0,633; EER (равная ошибка</w:t>
      </w:r>
      <w:r>
        <w:t xml:space="preserve"> </w:t>
      </w:r>
      <w:r>
        <w:t xml:space="preserve">ложного принятия и ложного отказа) 0,412–0,415; top-1 0,133–0,141.</w:t>
      </w:r>
      <w:r>
        <w:t xml:space="preserve"> </w:t>
      </w:r>
      <w:r>
        <w:t xml:space="preserve">Выше случайного, но практически слабо.</w:t>
      </w:r>
    </w:p>
    <w:p>
      <w:pPr>
        <w:pStyle w:val="Compact"/>
        <w:numPr>
          <w:ilvl w:val="0"/>
          <w:numId w:val="1009"/>
        </w:numPr>
      </w:pPr>
      <w:r>
        <w:t xml:space="preserve">Кластеризация: ARI (скорректированный индекс Рэнда) = 0 для k = 3/5/8;</w:t>
      </w:r>
      <w:r>
        <w:t xml:space="preserve"> </w:t>
      </w:r>
      <w:r>
        <w:t xml:space="preserve">NMI (нормированная взаимная информация) 0,14–0,53. Устойчивых кластеров,</w:t>
      </w:r>
      <w:r>
        <w:t xml:space="preserve"> </w:t>
      </w:r>
      <w:r>
        <w:t xml:space="preserve">соответствующих персонажам, нет.</w:t>
      </w:r>
    </w:p>
    <w:bookmarkEnd w:id="86"/>
    <w:bookmarkStart w:id="87" w:name="калибровка-и-ансамбли"/>
    <w:p>
      <w:pPr>
        <w:pStyle w:val="Heading2"/>
      </w:pPr>
      <w:r>
        <w:t xml:space="preserve">6.8. Калибровка и ансамбли</w:t>
      </w:r>
    </w:p>
    <w:p>
      <w:pPr>
        <w:pStyle w:val="FirstParagraph"/>
      </w:pPr>
      <w:r>
        <w:t xml:space="preserve">Коррекция априорных вероятностей вида</w:t>
      </w:r>
      <w:r>
        <w:t xml:space="preserve"> </w:t>
      </w:r>
      <m:oMath>
        <m:sSub>
          <m:e>
            <m:sSup>
              <m:e>
                <m:r>
                  <w:rPr>
                    <w:rFonts w:ascii="Cambria Math" w:hAnsi="Cambria Math"/>
                  </w:rPr>
                  <m:t>p</m:t>
                </m:r>
              </m:e>
              <m:sup>
                <m:r>
                  <w:rPr>
                    <w:rFonts w:ascii="Cambria Math" w:hAnsi="Cambria Math"/>
                  </w:rPr>
                  <m:rPr>
                    <m:sty m:val="p"/>
                  </m:rPr>
                  <m:t>′</m:t>
                </m:r>
              </m:sup>
            </m:sSup>
          </m:e>
          <m:sub>
            <m:r>
              <w:rPr>
                <w:rFonts w:ascii="Cambria Math" w:hAnsi="Cambria Math"/>
              </w:rPr>
              <m:t>i</m:t>
            </m:r>
            <m:r>
              <w:rPr>
                <w:rFonts w:ascii="Cambria Math" w:hAnsi="Cambria Math"/>
              </w:rPr>
              <m:t>c</m:t>
            </m:r>
          </m:sub>
        </m:sSub>
        <m:r>
          <w:rPr>
            <w:rFonts w:ascii="Cambria Math" w:hAnsi="Cambria Math"/>
          </w:rPr>
          <m:rPr>
            <m:sty m:val="p"/>
          </m:rPr>
          <m:t>∝</m:t>
        </m:r>
        <m:sSub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i</m:t>
            </m:r>
            <m:r>
              <w:rPr>
                <w:rFonts w:ascii="Cambria Math" w:hAnsi="Cambria Math"/>
              </w:rPr>
              <m:t>c</m:t>
            </m:r>
          </m:sub>
        </m:sSub>
        <m:sSubSup>
          <m:e>
            <m:r>
              <w:rPr>
                <w:rFonts w:ascii="Cambria Math" w:hAnsi="Cambria Math"/>
              </w:rPr>
              <m:t>π</m:t>
            </m:r>
          </m:e>
          <m:sub>
            <m:r>
              <w:rPr>
                <w:rFonts w:ascii="Cambria Math" w:hAnsi="Cambria Math"/>
              </w:rPr>
              <m:t>c</m:t>
            </m:r>
          </m:sub>
          <m:sup>
            <m:r>
              <w:rPr>
                <w:rFonts w:ascii="Cambria Math" w:hAnsi="Cambria Math"/>
              </w:rPr>
              <m:rPr>
                <m:sty m:val="p"/>
              </m:rPr>
              <m:t>−</m:t>
            </m:r>
            <m:r>
              <w:rPr>
                <w:rFonts w:ascii="Cambria Math" w:hAnsi="Cambria Math"/>
              </w:rPr>
              <m:t>α</m:t>
            </m:r>
          </m:sup>
        </m:sSubSup>
      </m:oMath>
      <w:r>
        <w:t xml:space="preserve"> </w:t>
      </w:r>
      <w:r>
        <w:t xml:space="preserve">проверялась по схеме</w:t>
      </w:r>
      <w:r>
        <w:t xml:space="preserve"> </w:t>
      </w:r>
      <w:r>
        <w:t xml:space="preserve">«один повтор — отложенный, остальные — обучающие». Среднее изменение</w:t>
      </w:r>
      <w:r>
        <w:t xml:space="preserve"> </w:t>
      </w:r>
      <w:r>
        <w:t xml:space="preserve">macro-F1 составило</w:t>
      </w:r>
      <w:r>
        <w:t xml:space="preserve"> </w:t>
      </w:r>
      <w:r>
        <w:rPr>
          <w:b/>
          <w:bCs/>
        </w:rPr>
        <w:t xml:space="preserve">−0,0022</w:t>
      </w:r>
      <w:r>
        <w:t xml:space="preserve">: простой пересчёт приоров не помог.</w:t>
      </w:r>
    </w:p>
    <w:p>
      <w:pPr>
        <w:pStyle w:val="BodyText"/>
      </w:pPr>
      <w:r>
        <w:t xml:space="preserve">Мягкое голосование трёх моделей (ExtraTrees на полном наборе, ExtraTrees с</w:t>
      </w:r>
      <w:r>
        <w:t xml:space="preserve"> </w:t>
      </w:r>
      <w:r>
        <w:rPr>
          <w:rStyle w:val="VerbatimChar"/>
        </w:rPr>
        <w:t xml:space="preserve">char_max_features=10000</w:t>
      </w:r>
      <w:r>
        <w:t xml:space="preserve">, логистическая регрессия с lean + content-LSA)</w:t>
      </w:r>
      <w:r>
        <w:t xml:space="preserve"> </w:t>
      </w:r>
      <w:r>
        <w:t xml:space="preserve">дало</w:t>
      </w:r>
      <w:r>
        <w:t xml:space="preserve"> </w:t>
      </w:r>
      <w:r>
        <w:rPr>
          <w:b/>
          <w:bCs/>
        </w:rPr>
        <w:t xml:space="preserve">0,3036 ± 0,0189</w:t>
      </w:r>
      <w:r>
        <w:t xml:space="preserve">. Объединение через мета-классификатор оказалось хуже</w:t>
      </w:r>
      <w:r>
        <w:t xml:space="preserve"> </w:t>
      </w:r>
      <w:r>
        <w:t xml:space="preserve">(0,2259 ± 0,0163) из-за переобучения на малом числе объектов.</w:t>
      </w:r>
    </w:p>
    <w:bookmarkEnd w:id="87"/>
    <w:bookmarkEnd w:id="88"/>
    <w:bookmarkStart w:id="89" w:name="обсуждение"/>
    <w:p>
      <w:pPr>
        <w:pStyle w:val="Heading1"/>
      </w:pPr>
      <w:r>
        <w:t xml:space="preserve">7. Обсуждение</w:t>
      </w:r>
    </w:p>
    <w:p>
      <w:pPr>
        <w:numPr>
          <w:ilvl w:val="0"/>
          <w:numId w:val="1010"/>
        </w:numPr>
      </w:pPr>
      <w:r>
        <w:rPr>
          <w:b/>
          <w:bCs/>
        </w:rPr>
        <w:t xml:space="preserve">Персонажи статистически различимы, но сигнал умеренный.</w:t>
      </w:r>
      <w:r>
        <w:t xml:space="preserve"> </w:t>
      </w:r>
      <w:r>
        <w:t xml:space="preserve">0,304</w:t>
      </w:r>
      <w:r>
        <w:t xml:space="preserve"> </w:t>
      </w:r>
      <w:r>
        <w:t xml:space="preserve">macro-F1 при 34 классах — примерно в 10 раз выше случайного уровня 0,029.</w:t>
      </w:r>
      <w:r>
        <w:t xml:space="preserve"> </w:t>
      </w:r>
      <w:r>
        <w:t xml:space="preserve">Абсолютное значение ограничено короткими репликами, дисбалансом и общими</w:t>
      </w:r>
      <w:r>
        <w:t xml:space="preserve"> </w:t>
      </w:r>
      <w:r>
        <w:t xml:space="preserve">темами.</w:t>
      </w:r>
    </w:p>
    <w:p>
      <w:pPr>
        <w:numPr>
          <w:ilvl w:val="0"/>
          <w:numId w:val="1010"/>
        </w:numPr>
      </w:pPr>
      <w:r>
        <w:rPr>
          <w:b/>
          <w:bCs/>
        </w:rPr>
        <w:t xml:space="preserve">Основной вклад — лексико-тематический.</w:t>
      </w:r>
      <w:r>
        <w:t xml:space="preserve"> </w:t>
      </w:r>
      <w:r>
        <w:t xml:space="preserve">Символьные n-граммы и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-LSA дают основной прирост; функциональные слова и POS-LSA сами</w:t>
      </w:r>
      <w:r>
        <w:t xml:space="preserve"> </w:t>
      </w:r>
      <w:r>
        <w:t xml:space="preserve">по себе слабы. После маскирования содержательных слов качество падает</w:t>
      </w:r>
      <w:r>
        <w:t xml:space="preserve"> </w:t>
      </w:r>
      <w:r>
        <w:t xml:space="preserve">более чем вдвое.</w:t>
      </w:r>
    </w:p>
    <w:p>
      <w:pPr>
        <w:numPr>
          <w:ilvl w:val="0"/>
          <w:numId w:val="1010"/>
        </w:numPr>
      </w:pPr>
      <w:r>
        <w:rPr>
          <w:b/>
          <w:bCs/>
        </w:rPr>
        <w:t xml:space="preserve">Наиболее устойчивая одиночная модель — ExtraTrees с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char_max_features=10000</w:t>
      </w:r>
      <w:r>
        <w:rPr>
          <w:b/>
          <w:bCs/>
        </w:rPr>
        <w:t xml:space="preserve">.</w:t>
      </w:r>
      <w:r>
        <w:t xml:space="preserve"> </w:t>
      </w:r>
      <w:r>
        <w:t xml:space="preserve">Она выбрана в 14 из 15 внешних фолдов</w:t>
      </w:r>
      <w:r>
        <w:t xml:space="preserve"> </w:t>
      </w:r>
      <w:r>
        <w:t xml:space="preserve">вложенной процедуры и даёт 0,2757 ± 0,0219.</w:t>
      </w:r>
    </w:p>
    <w:p>
      <w:pPr>
        <w:numPr>
          <w:ilvl w:val="0"/>
          <w:numId w:val="1010"/>
        </w:numPr>
      </w:pPr>
      <w:r>
        <w:rPr>
          <w:b/>
          <w:bCs/>
        </w:rPr>
        <w:t xml:space="preserve">Мягкое голосование — лучший наблюдаемый результат</w:t>
      </w:r>
      <w:r>
        <w:t xml:space="preserve">, но состав</w:t>
      </w:r>
      <w:r>
        <w:t xml:space="preserve"> </w:t>
      </w:r>
      <w:r>
        <w:t xml:space="preserve">ансамбля выбирался по предыдущим сериям. Для строгого вывода нужна</w:t>
      </w:r>
      <w:r>
        <w:t xml:space="preserve"> </w:t>
      </w:r>
      <w:r>
        <w:t xml:space="preserve">внешняя валидация.</w:t>
      </w:r>
    </w:p>
    <w:p>
      <w:pPr>
        <w:numPr>
          <w:ilvl w:val="0"/>
          <w:numId w:val="1010"/>
        </w:numPr>
      </w:pPr>
      <w:r>
        <w:rPr>
          <w:b/>
          <w:bCs/>
        </w:rPr>
        <w:t xml:space="preserve">Ошибки — это коллапс редких классов в классы-аттракторы</w:t>
      </w:r>
      <w:r>
        <w:t xml:space="preserve">, а не</w:t>
      </w:r>
      <w:r>
        <w:t xml:space="preserve"> </w:t>
      </w:r>
      <w:r>
        <w:t xml:space="preserve">доказательство сходства характеров. Abigail, Alex и ещё несколько</w:t>
      </w:r>
      <w:r>
        <w:t xml:space="preserve"> </w:t>
      </w:r>
      <w:r>
        <w:t xml:space="preserve">популярных классов забирают чужие реплики.</w:t>
      </w:r>
    </w:p>
    <w:p>
      <w:pPr>
        <w:numPr>
          <w:ilvl w:val="0"/>
          <w:numId w:val="1010"/>
        </w:numPr>
      </w:pPr>
      <w:r>
        <w:rPr>
          <w:b/>
          <w:bCs/>
        </w:rPr>
        <w:t xml:space="preserve">Один автор и общие контексты</w:t>
      </w:r>
      <w:r>
        <w:t xml:space="preserve"> </w:t>
      </w:r>
      <w:r>
        <w:t xml:space="preserve">делают путаницу между персонажами</w:t>
      </w:r>
      <w:r>
        <w:t xml:space="preserve"> </w:t>
      </w:r>
      <w:r>
        <w:t xml:space="preserve">ожидаемой. Это не означает, что автор «не старался»: превышение</w:t>
      </w:r>
      <w:r>
        <w:t xml:space="preserve"> </w:t>
      </w:r>
      <w:r>
        <w:t xml:space="preserve">случайного уровня как раз говорит о намеренно созданных речевых масках.</w:t>
      </w:r>
    </w:p>
    <w:bookmarkEnd w:id="89"/>
    <w:bookmarkStart w:id="90" w:name="ограничения"/>
    <w:p>
      <w:pPr>
        <w:pStyle w:val="Heading1"/>
      </w:pPr>
      <w:r>
        <w:t xml:space="preserve">8. Ограничения</w:t>
      </w:r>
    </w:p>
    <w:p>
      <w:pPr>
        <w:pStyle w:val="Compact"/>
        <w:numPr>
          <w:ilvl w:val="0"/>
          <w:numId w:val="1011"/>
        </w:numPr>
      </w:pPr>
      <w:r>
        <w:t xml:space="preserve">Один корпус, одна игра, один автор; внешняя валидация не проводилась.</w:t>
      </w:r>
    </w:p>
    <w:p>
      <w:pPr>
        <w:pStyle w:val="Compact"/>
        <w:numPr>
          <w:ilvl w:val="0"/>
          <w:numId w:val="1011"/>
        </w:numPr>
      </w:pPr>
      <w:r>
        <w:t xml:space="preserve">Единица анализа — реплика, а не текст из 30 предложений; это согласовано,</w:t>
      </w:r>
      <w:r>
        <w:t xml:space="preserve"> </w:t>
      </w:r>
      <w:r>
        <w:t xml:space="preserve">но ограничивает сравнение с документными корпусами.</w:t>
      </w:r>
    </w:p>
    <w:p>
      <w:pPr>
        <w:pStyle w:val="Compact"/>
        <w:numPr>
          <w:ilvl w:val="0"/>
          <w:numId w:val="1011"/>
        </w:numPr>
      </w:pPr>
      <w:r>
        <w:t xml:space="preserve">Классы неравномерны; редкие классы имеют широкие интервалы.</w:t>
      </w:r>
    </w:p>
    <w:p>
      <w:pPr>
        <w:pStyle w:val="Compact"/>
        <w:numPr>
          <w:ilvl w:val="0"/>
          <w:numId w:val="1011"/>
        </w:numPr>
      </w:pPr>
      <w:r>
        <w:t xml:space="preserve">Ручная фильтрация корпуса невоспроизводима.</w:t>
      </w:r>
    </w:p>
    <w:p>
      <w:pPr>
        <w:pStyle w:val="Compact"/>
        <w:numPr>
          <w:ilvl w:val="0"/>
          <w:numId w:val="1011"/>
        </w:numPr>
      </w:pPr>
      <w:r>
        <w:t xml:space="preserve">Нет идентификаторов сцен и диалогов.</w:t>
      </w:r>
    </w:p>
    <w:p>
      <w:pPr>
        <w:pStyle w:val="Compact"/>
        <w:numPr>
          <w:ilvl w:val="0"/>
          <w:numId w:val="1011"/>
        </w:numPr>
      </w:pPr>
      <w:r>
        <w:t xml:space="preserve">Выбор признаков и ансамбля частично опирался на предыдущие серии;</w:t>
      </w:r>
      <w:r>
        <w:t xml:space="preserve"> </w:t>
      </w:r>
      <w:r>
        <w:t xml:space="preserve">вложенная проверка снижает, но не устраняет оптимизм.</w:t>
      </w:r>
    </w:p>
    <w:p>
      <w:pPr>
        <w:pStyle w:val="Compact"/>
        <w:numPr>
          <w:ilvl w:val="0"/>
          <w:numId w:val="1011"/>
        </w:numPr>
      </w:pPr>
      <w:r>
        <w:t xml:space="preserve">Содержательные слова и тема вносят большой вклад; «чистый стиль» не</w:t>
      </w:r>
      <w:r>
        <w:t xml:space="preserve"> </w:t>
      </w:r>
      <w:r>
        <w:t xml:space="preserve">доказан.</w:t>
      </w:r>
    </w:p>
    <w:p>
      <w:pPr>
        <w:pStyle w:val="Compact"/>
        <w:numPr>
          <w:ilvl w:val="0"/>
          <w:numId w:val="1011"/>
        </w:numPr>
      </w:pPr>
      <w:r>
        <w:t xml:space="preserve">Простая коррекция приоров не помогла; калибровка редких классов требует</w:t>
      </w:r>
      <w:r>
        <w:t xml:space="preserve"> </w:t>
      </w:r>
      <w:r>
        <w:t xml:space="preserve">дальнейшей работы.</w:t>
      </w:r>
    </w:p>
    <w:bookmarkEnd w:id="90"/>
    <w:bookmarkStart w:id="91" w:name="выводы"/>
    <w:p>
      <w:pPr>
        <w:pStyle w:val="Heading1"/>
      </w:pPr>
      <w:r>
        <w:t xml:space="preserve">9. Выводы</w:t>
      </w:r>
    </w:p>
    <w:p>
      <w:pPr>
        <w:pStyle w:val="Compact"/>
        <w:numPr>
          <w:ilvl w:val="0"/>
          <w:numId w:val="1012"/>
        </w:numPr>
      </w:pPr>
      <w:r>
        <w:t xml:space="preserve">Речевые маски 34 персонажей статистически различимы по отдельным</w:t>
      </w:r>
      <w:r>
        <w:t xml:space="preserve"> </w:t>
      </w:r>
      <w:r>
        <w:t xml:space="preserve">репликам: лучшая модель — 0,304 macro-F1, консервативная оценка — 0,275</w:t>
      </w:r>
      <w:r>
        <w:t xml:space="preserve"> </w:t>
      </w:r>
      <w:r>
        <w:t xml:space="preserve">при случайном уровне 0,029.</w:t>
      </w:r>
    </w:p>
    <w:p>
      <w:pPr>
        <w:pStyle w:val="Compact"/>
        <w:numPr>
          <w:ilvl w:val="0"/>
          <w:numId w:val="1012"/>
        </w:numPr>
      </w:pPr>
      <w:r>
        <w:t xml:space="preserve">Основной сигнал — лексико-тематический: символьные n-граммы и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-LSA дают основной прирост; функциональные слова и частеречная</w:t>
      </w:r>
      <w:r>
        <w:t xml:space="preserve"> </w:t>
      </w:r>
      <w:r>
        <w:t xml:space="preserve">LSA сами по себе слабы.</w:t>
      </w:r>
    </w:p>
    <w:p>
      <w:pPr>
        <w:pStyle w:val="Compact"/>
        <w:numPr>
          <w:ilvl w:val="0"/>
          <w:numId w:val="1012"/>
        </w:numPr>
      </w:pPr>
      <w:r>
        <w:t xml:space="preserve">После замены содержательных слов качество падает с 0,248 до 0,113:</w:t>
      </w:r>
      <w:r>
        <w:t xml:space="preserve"> </w:t>
      </w:r>
      <w:r>
        <w:t xml:space="preserve">содержание доминирует, но стилевой сигнал сохраняется.</w:t>
      </w:r>
    </w:p>
    <w:p>
      <w:pPr>
        <w:pStyle w:val="Compact"/>
        <w:numPr>
          <w:ilvl w:val="0"/>
          <w:numId w:val="1012"/>
        </w:numPr>
      </w:pPr>
      <w:r>
        <w:t xml:space="preserve">Главная проблема — редкие классы и классы-аттракторы; мягкое голосование</w:t>
      </w:r>
      <w:r>
        <w:t xml:space="preserve"> </w:t>
      </w:r>
      <w:r>
        <w:t xml:space="preserve">помогает, но не решает её полностью.</w:t>
      </w:r>
    </w:p>
    <w:p>
      <w:pPr>
        <w:pStyle w:val="Compact"/>
        <w:numPr>
          <w:ilvl w:val="0"/>
          <w:numId w:val="1012"/>
        </w:numPr>
      </w:pPr>
      <w:r>
        <w:t xml:space="preserve">Корректная формулировка результата: различимы речевые маски по</w:t>
      </w:r>
      <w:r>
        <w:t xml:space="preserve"> </w:t>
      </w:r>
      <w:r>
        <w:t xml:space="preserve">лексико-тематическому профилю; утверждение о «чистом стиле» требует</w:t>
      </w:r>
      <w:r>
        <w:t xml:space="preserve"> </w:t>
      </w:r>
      <w:r>
        <w:t xml:space="preserve">внешней валидации и тематического контроля.</w:t>
      </w:r>
    </w:p>
    <w:bookmarkEnd w:id="91"/>
    <w:bookmarkStart w:id="95" w:name="воспроизводимость"/>
    <w:p>
      <w:pPr>
        <w:pStyle w:val="Heading1"/>
      </w:pPr>
      <w:r>
        <w:t xml:space="preserve">10. Воспроизводимость</w:t>
      </w:r>
    </w:p>
    <w:bookmarkStart w:id="92" w:name="структура-проекта"/>
    <w:p>
      <w:pPr>
        <w:pStyle w:val="Heading2"/>
      </w:pPr>
      <w:r>
        <w:t xml:space="preserve">10.1. Структура проекта</w:t>
      </w:r>
    </w:p>
    <w:p>
      <w:pPr>
        <w:pStyle w:val="SourceCode"/>
      </w:pPr>
      <w:r>
        <w:rPr>
          <w:rStyle w:val="VerbatimChar"/>
        </w:rPr>
        <w:t xml:space="preserve">lab1/</w:t>
      </w:r>
      <w:r>
        <w:br/>
      </w:r>
      <w:r>
        <w:rPr>
          <w:rStyle w:val="VerbatimChar"/>
        </w:rPr>
        <w:t xml:space="preserve">├── stylometry/          # чтение, признаки, LSA, модели, метрики</w:t>
      </w:r>
      <w:r>
        <w:br/>
      </w:r>
      <w:r>
        <w:rPr>
          <w:rStyle w:val="VerbatimChar"/>
        </w:rPr>
        <w:t xml:space="preserve">├── scripts/             # проверка окружения, запуск серий, упаковка</w:t>
      </w:r>
      <w:r>
        <w:br/>
      </w:r>
      <w:r>
        <w:rPr>
          <w:rStyle w:val="VerbatimChar"/>
        </w:rPr>
        <w:t xml:space="preserve">├── tests/               # pytest</w:t>
      </w:r>
      <w:r>
        <w:br/>
      </w:r>
      <w:r>
        <w:rPr>
          <w:rStyle w:val="VerbatimChar"/>
        </w:rPr>
        <w:t xml:space="preserve">├── configs/             # конфигурация</w:t>
      </w:r>
      <w:r>
        <w:br/>
      </w:r>
      <w:r>
        <w:rPr>
          <w:rStyle w:val="VerbatimChar"/>
        </w:rPr>
        <w:t xml:space="preserve">├── data/                # корпус и метаданные</w:t>
      </w:r>
      <w:r>
        <w:br/>
      </w:r>
      <w:r>
        <w:rPr>
          <w:rStyle w:val="VerbatimChar"/>
        </w:rPr>
        <w:t xml:space="preserve">├── report/              # этот отчёт</w:t>
      </w:r>
      <w:r>
        <w:br/>
      </w:r>
      <w:r>
        <w:rPr>
          <w:rStyle w:val="VerbatimChar"/>
        </w:rPr>
        <w:t xml:space="preserve">├── presentation/        # PPTX/PDF и LaTeX-версия</w:t>
      </w:r>
      <w:r>
        <w:br/>
      </w:r>
      <w:r>
        <w:rPr>
          <w:rStyle w:val="VerbatimChar"/>
        </w:rPr>
        <w:t xml:space="preserve">├── README.md</w:t>
      </w:r>
      <w:r>
        <w:br/>
      </w:r>
      <w:r>
        <w:rPr>
          <w:rStyle w:val="VerbatimChar"/>
        </w:rPr>
        <w:t xml:space="preserve">├── RUNBOOK.md</w:t>
      </w:r>
      <w:r>
        <w:br/>
      </w:r>
      <w:r>
        <w:rPr>
          <w:rStyle w:val="VerbatimChar"/>
        </w:rPr>
        <w:t xml:space="preserve">├── EXPERIMENTS.md</w:t>
      </w:r>
      <w:r>
        <w:br/>
      </w:r>
      <w:r>
        <w:rPr>
          <w:rStyle w:val="VerbatimChar"/>
        </w:rPr>
        <w:t xml:space="preserve">├── FEATURES.md</w:t>
      </w:r>
      <w:r>
        <w:br/>
      </w:r>
      <w:r>
        <w:rPr>
          <w:rStyle w:val="VerbatimChar"/>
        </w:rPr>
        <w:t xml:space="preserve">├── METRICS_AND_CLASSIFIERS.md</w:t>
      </w:r>
      <w:r>
        <w:br/>
      </w:r>
      <w:r>
        <w:rPr>
          <w:rStyle w:val="VerbatimChar"/>
        </w:rPr>
        <w:t xml:space="preserve">├── TUNING.md</w:t>
      </w:r>
      <w:r>
        <w:br/>
      </w:r>
      <w:r>
        <w:rPr>
          <w:rStyle w:val="VerbatimChar"/>
        </w:rPr>
        <w:t xml:space="preserve">├── FINAL_REPORT.md</w:t>
      </w:r>
      <w:r>
        <w:br/>
      </w:r>
      <w:r>
        <w:rPr>
          <w:rStyle w:val="VerbatimChar"/>
        </w:rPr>
        <w:t xml:space="preserve">├── FINAL_RESULTS.csv</w:t>
      </w:r>
      <w:r>
        <w:br/>
      </w:r>
      <w:r>
        <w:rPr>
          <w:rStyle w:val="VerbatimChar"/>
        </w:rPr>
        <w:t xml:space="preserve">├── requirements.txt</w:t>
      </w:r>
      <w:r>
        <w:br/>
      </w:r>
      <w:r>
        <w:rPr>
          <w:rStyle w:val="VerbatimChar"/>
        </w:rPr>
        <w:t xml:space="preserve">└── requirements-report.txt</w:t>
      </w:r>
    </w:p>
    <w:p>
      <w:pPr>
        <w:pStyle w:val="FirstParagraph"/>
      </w:pPr>
      <w:r>
        <w:t xml:space="preserve">Краткая и подробная инструкции к архиву (</w:t>
      </w:r>
      <w:r>
        <w:rPr>
          <w:rStyle w:val="VerbatimChar"/>
        </w:rPr>
        <w:t xml:space="preserve">START_HERE.md</w:t>
      </w:r>
      <w:r>
        <w:t xml:space="preserve">,</w:t>
      </w:r>
      <w:r>
        <w:t xml:space="preserve"> </w:t>
      </w:r>
      <w:r>
        <w:rPr>
          <w:rStyle w:val="VerbatimChar"/>
        </w:rPr>
        <w:t xml:space="preserve">ARCHIVE_README.md</w:t>
      </w:r>
      <w:r>
        <w:t xml:space="preserve">) лежат в его корне, рядом с каталогом</w:t>
      </w:r>
      <w:r>
        <w:t xml:space="preserve"> </w:t>
      </w:r>
      <w:r>
        <w:rPr>
          <w:rStyle w:val="VerbatimChar"/>
        </w:rPr>
        <w:t xml:space="preserve">lab1</w:t>
      </w:r>
      <w:r>
        <w:t xml:space="preserve">.</w:t>
      </w:r>
    </w:p>
    <w:bookmarkEnd w:id="92"/>
    <w:bookmarkStart w:id="93" w:name="установка-и-запуск"/>
    <w:p>
      <w:pPr>
        <w:pStyle w:val="Heading2"/>
      </w:pPr>
      <w:r>
        <w:t xml:space="preserve">10.2. Установка и запуск</w:t>
      </w:r>
    </w:p>
    <w:p>
      <w:pPr>
        <w:pStyle w:val="SourceCode"/>
      </w:pPr>
      <w:r>
        <w:rPr>
          <w:rStyle w:val="BuiltInTok"/>
        </w:rPr>
        <w:t xml:space="preserve">cd</w:t>
      </w:r>
      <w:r>
        <w:rPr>
          <w:rStyle w:val="NormalTok"/>
        </w:rPr>
        <w:t xml:space="preserve"> lab1</w:t>
      </w:r>
      <w:r>
        <w:br/>
      </w:r>
      <w:r>
        <w:rPr>
          <w:rStyle w:val="ExtensionTok"/>
        </w:rPr>
        <w:t xml:space="preserve">python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-m</w:t>
      </w:r>
      <w:r>
        <w:rPr>
          <w:rStyle w:val="NormalTok"/>
        </w:rPr>
        <w:t xml:space="preserve"> venv .venv</w:t>
      </w:r>
      <w:r>
        <w:br/>
      </w:r>
      <w:r>
        <w:rPr>
          <w:rStyle w:val="BuiltInTok"/>
        </w:rPr>
        <w:t xml:space="preserve">source</w:t>
      </w:r>
      <w:r>
        <w:rPr>
          <w:rStyle w:val="NormalTok"/>
        </w:rPr>
        <w:t xml:space="preserve"> .venv/bin/activate</w:t>
      </w:r>
      <w:r>
        <w:br/>
      </w:r>
      <w:r>
        <w:rPr>
          <w:rStyle w:val="ExtensionTok"/>
        </w:rPr>
        <w:t xml:space="preserve">python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-m</w:t>
      </w:r>
      <w:r>
        <w:rPr>
          <w:rStyle w:val="NormalTok"/>
        </w:rPr>
        <w:t xml:space="preserve"> pip install </w:t>
      </w:r>
      <w:r>
        <w:rPr>
          <w:rStyle w:val="AttributeTok"/>
        </w:rPr>
        <w:t xml:space="preserve">-r</w:t>
      </w:r>
      <w:r>
        <w:rPr>
          <w:rStyle w:val="NormalTok"/>
        </w:rPr>
        <w:t xml:space="preserve"> requirements.txt</w:t>
      </w:r>
      <w:r>
        <w:br/>
      </w:r>
      <w:r>
        <w:rPr>
          <w:rStyle w:val="ExtensionTok"/>
        </w:rPr>
        <w:t xml:space="preserve">python</w:t>
      </w:r>
      <w:r>
        <w:rPr>
          <w:rStyle w:val="NormalTok"/>
        </w:rPr>
        <w:t xml:space="preserve"> scripts/download_nltk_data.py</w:t>
      </w:r>
      <w:r>
        <w:br/>
      </w:r>
      <w:r>
        <w:br/>
      </w:r>
      <w:r>
        <w:rPr>
          <w:rStyle w:val="ExtensionTok"/>
        </w:rPr>
        <w:t xml:space="preserve">python</w:t>
      </w:r>
      <w:r>
        <w:rPr>
          <w:rStyle w:val="NormalTok"/>
        </w:rPr>
        <w:t xml:space="preserve"> scripts/check_environment.py</w:t>
      </w:r>
      <w:r>
        <w:br/>
      </w:r>
      <w:r>
        <w:rPr>
          <w:rStyle w:val="ExtensionTok"/>
        </w:rPr>
        <w:t xml:space="preserve">python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-m</w:t>
      </w:r>
      <w:r>
        <w:rPr>
          <w:rStyle w:val="NormalTok"/>
        </w:rPr>
        <w:t xml:space="preserve"> pytest </w:t>
      </w:r>
      <w:r>
        <w:rPr>
          <w:rStyle w:val="AttributeTok"/>
        </w:rPr>
        <w:t xml:space="preserve">-q</w:t>
      </w:r>
      <w:r>
        <w:br/>
      </w:r>
      <w:r>
        <w:br/>
      </w:r>
      <w:r>
        <w:rPr>
          <w:rStyle w:val="CommentTok"/>
        </w:rPr>
        <w:t xml:space="preserve"># аудит и признаки</w:t>
      </w:r>
      <w:r>
        <w:br/>
      </w:r>
      <w:r>
        <w:rPr>
          <w:rStyle w:val="ExtensionTok"/>
        </w:rPr>
        <w:t xml:space="preserve">python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-m</w:t>
      </w:r>
      <w:r>
        <w:rPr>
          <w:rStyle w:val="NormalTok"/>
        </w:rPr>
        <w:t xml:space="preserve"> stylometry.cli audit</w:t>
      </w:r>
      <w:r>
        <w:br/>
      </w:r>
      <w:r>
        <w:rPr>
          <w:rStyle w:val="ExtensionTok"/>
        </w:rPr>
        <w:t xml:space="preserve">python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-m</w:t>
      </w:r>
      <w:r>
        <w:rPr>
          <w:rStyle w:val="NormalTok"/>
        </w:rPr>
        <w:t xml:space="preserve"> stylometry.cli features</w:t>
      </w:r>
      <w:r>
        <w:br/>
      </w:r>
      <w:r>
        <w:br/>
      </w:r>
      <w:r>
        <w:rPr>
          <w:rStyle w:val="CommentTok"/>
        </w:rPr>
        <w:t xml:space="preserve"># основной эксперимент</w:t>
      </w:r>
      <w:r>
        <w:br/>
      </w:r>
      <w:r>
        <w:rPr>
          <w:rStyle w:val="ExtensionTok"/>
        </w:rPr>
        <w:t xml:space="preserve">python</w:t>
      </w:r>
      <w:r>
        <w:rPr>
          <w:rStyle w:val="NormalTok"/>
        </w:rPr>
        <w:t xml:space="preserve"> </w:t>
      </w:r>
      <w:r>
        <w:rPr>
          <w:rStyle w:val="AttributeTok"/>
        </w:rPr>
        <w:t xml:space="preserve">-m</w:t>
      </w:r>
      <w:r>
        <w:rPr>
          <w:rStyle w:val="NormalTok"/>
        </w:rPr>
        <w:t xml:space="preserve"> stylometry.cli run </w:t>
      </w:r>
      <w:r>
        <w:rPr>
          <w:rStyle w:val="DataTypeTok"/>
        </w:rPr>
        <w:t xml:space="preserve">\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--preset</w:t>
      </w:r>
      <w:r>
        <w:rPr>
          <w:rStyle w:val="NormalTok"/>
        </w:rPr>
        <w:t xml:space="preserve"> stylometry_pos_lsa </w:t>
      </w:r>
      <w:r>
        <w:rPr>
          <w:rStyle w:val="AttributeTok"/>
        </w:rPr>
        <w:t xml:space="preserve">--model</w:t>
      </w:r>
      <w:r>
        <w:rPr>
          <w:rStyle w:val="NormalTok"/>
        </w:rPr>
        <w:t xml:space="preserve"> logreg </w:t>
      </w:r>
      <w:r>
        <w:rPr>
          <w:rStyle w:val="AttributeTok"/>
        </w:rPr>
        <w:t xml:space="preserve">--repeats</w:t>
      </w:r>
      <w:r>
        <w:rPr>
          <w:rStyle w:val="NormalTok"/>
        </w:rPr>
        <w:t xml:space="preserve"> 5</w:t>
      </w:r>
      <w:r>
        <w:br/>
      </w:r>
      <w:r>
        <w:br/>
      </w:r>
      <w:r>
        <w:rPr>
          <w:rStyle w:val="CommentTok"/>
        </w:rPr>
        <w:t xml:space="preserve"># полная серия</w:t>
      </w:r>
      <w:r>
        <w:br/>
      </w:r>
      <w:r>
        <w:rPr>
          <w:rStyle w:val="FunctionTok"/>
        </w:rPr>
        <w:t xml:space="preserve">bash</w:t>
      </w:r>
      <w:r>
        <w:rPr>
          <w:rStyle w:val="NormalTok"/>
        </w:rPr>
        <w:t xml:space="preserve"> scripts/run_all_experiments.sh</w:t>
      </w:r>
      <w:r>
        <w:br/>
      </w:r>
      <w:r>
        <w:br/>
      </w:r>
      <w:r>
        <w:rPr>
          <w:rStyle w:val="CommentTok"/>
        </w:rPr>
        <w:t xml:space="preserve"># дополнительные эксперименты</w:t>
      </w:r>
      <w:r>
        <w:br/>
      </w:r>
      <w:r>
        <w:rPr>
          <w:rStyle w:val="ExtensionTok"/>
        </w:rPr>
        <w:t xml:space="preserve">python</w:t>
      </w:r>
      <w:r>
        <w:rPr>
          <w:rStyle w:val="NormalTok"/>
        </w:rPr>
        <w:t xml:space="preserve"> scripts/run_final_experiments.py </w:t>
      </w:r>
      <w:r>
        <w:rPr>
          <w:rStyle w:val="DataTypeTok"/>
        </w:rPr>
        <w:t xml:space="preserve">\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--stages</w:t>
      </w:r>
      <w:r>
        <w:rPr>
          <w:rStyle w:val="NormalTok"/>
        </w:rPr>
        <w:t xml:space="preserve"> nested topic calibration ensemble extra </w:t>
      </w:r>
      <w:r>
        <w:rPr>
          <w:rStyle w:val="DataTypeTok"/>
        </w:rPr>
        <w:t xml:space="preserve">\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--out</w:t>
      </w:r>
      <w:r>
        <w:rPr>
          <w:rStyle w:val="NormalTok"/>
        </w:rPr>
        <w:t xml:space="preserve"> results/final</w:t>
      </w:r>
      <w:r>
        <w:br/>
      </w:r>
      <w:r>
        <w:br/>
      </w:r>
      <w:r>
        <w:rPr>
          <w:rStyle w:val="CommentTok"/>
        </w:rPr>
        <w:t xml:space="preserve"># пересборка отчёта (pandoc + LibreOffice)</w:t>
      </w:r>
      <w:r>
        <w:br/>
      </w:r>
      <w:r>
        <w:rPr>
          <w:rStyle w:val="ExtensionTok"/>
        </w:rPr>
        <w:t xml:space="preserve">python</w:t>
      </w:r>
      <w:r>
        <w:rPr>
          <w:rStyle w:val="NormalTok"/>
        </w:rPr>
        <w:t xml:space="preserve"> scripts/build_report.py</w:t>
      </w:r>
    </w:p>
    <w:bookmarkEnd w:id="93"/>
    <w:bookmarkStart w:id="94" w:name="программное-обеспечение"/>
    <w:p>
      <w:pPr>
        <w:pStyle w:val="Heading2"/>
      </w:pPr>
      <w:r>
        <w:t xml:space="preserve">10.3. Программное обеспечение</w:t>
      </w:r>
    </w:p>
    <w:p>
      <w:pPr>
        <w:pStyle w:val="Compact"/>
        <w:numPr>
          <w:ilvl w:val="0"/>
          <w:numId w:val="1013"/>
        </w:numPr>
      </w:pPr>
      <w:r>
        <w:t xml:space="preserve">Python 3.11+;</w:t>
      </w:r>
    </w:p>
    <w:p>
      <w:pPr>
        <w:pStyle w:val="Compact"/>
        <w:numPr>
          <w:ilvl w:val="0"/>
          <w:numId w:val="1013"/>
        </w:numPr>
      </w:pPr>
      <w:r>
        <w:t xml:space="preserve">NumPy, pandas, SciPy, scikit-learn, matplotlib;</w:t>
      </w:r>
    </w:p>
    <w:p>
      <w:pPr>
        <w:pStyle w:val="Compact"/>
        <w:numPr>
          <w:ilvl w:val="0"/>
          <w:numId w:val="1013"/>
        </w:numPr>
      </w:pPr>
      <w:r>
        <w:t xml:space="preserve">NLTK (</w:t>
      </w:r>
      <w:r>
        <w:rPr>
          <w:rStyle w:val="VerbatimChar"/>
        </w:rPr>
        <w:t xml:space="preserve">punkt</w:t>
      </w:r>
      <w:r>
        <w:t xml:space="preserve">,</w:t>
      </w:r>
      <w:r>
        <w:t xml:space="preserve"> </w:t>
      </w:r>
      <w:r>
        <w:rPr>
          <w:rStyle w:val="VerbatimChar"/>
        </w:rPr>
        <w:t xml:space="preserve">punkt_tab</w:t>
      </w:r>
      <w:r>
        <w:t xml:space="preserve">,</w:t>
      </w:r>
      <w:r>
        <w:t xml:space="preserve"> </w:t>
      </w:r>
      <w:r>
        <w:rPr>
          <w:rStyle w:val="VerbatimChar"/>
        </w:rPr>
        <w:t xml:space="preserve">averaged_perceptron_tagger_eng</w:t>
      </w:r>
      <w:r>
        <w:t xml:space="preserve">,</w:t>
      </w:r>
      <w:r>
        <w:t xml:space="preserve"> </w:t>
      </w:r>
      <w:r>
        <w:rPr>
          <w:rStyle w:val="VerbatimChar"/>
        </w:rPr>
        <w:t xml:space="preserve">stopwords</w:t>
      </w:r>
      <w:r>
        <w:t xml:space="preserve">);</w:t>
      </w:r>
    </w:p>
    <w:p>
      <w:pPr>
        <w:pStyle w:val="Compact"/>
        <w:numPr>
          <w:ilvl w:val="0"/>
          <w:numId w:val="1013"/>
        </w:numPr>
      </w:pPr>
      <w:r>
        <w:t xml:space="preserve">python-pptx и Pillow — для презентации;</w:t>
      </w:r>
    </w:p>
    <w:p>
      <w:pPr>
        <w:pStyle w:val="Compact"/>
        <w:numPr>
          <w:ilvl w:val="0"/>
          <w:numId w:val="1013"/>
        </w:numPr>
      </w:pPr>
      <w:r>
        <w:t xml:space="preserve">pandoc, LibreOffice, python-docx и PyMuPDF — для сборки отчёта;</w:t>
      </w:r>
    </w:p>
    <w:p>
      <w:pPr>
        <w:pStyle w:val="Compact"/>
        <w:numPr>
          <w:ilvl w:val="0"/>
          <w:numId w:val="1013"/>
        </w:numPr>
      </w:pPr>
      <w:r>
        <w:t xml:space="preserve">XeLaTeX и Beamer — для LaTeX-версии презентации.</w:t>
      </w:r>
    </w:p>
    <w:bookmarkEnd w:id="94"/>
    <w:bookmarkEnd w:id="95"/>
    <w:bookmarkStart w:id="99" w:name="приложение-a.-полная-матрица-ошибок"/>
    <w:p>
      <w:pPr>
        <w:pStyle w:val="Heading1"/>
      </w:pPr>
      <w:r>
        <w:t xml:space="preserve">Приложение A. Полная матрица ошибок</w:t>
      </w:r>
    </w:p>
    <w:p>
      <w:pPr>
        <w:pStyle w:val="CaptionedFigure"/>
      </w:pPr>
      <w:r>
        <w:drawing>
          <wp:inline>
            <wp:extent cx="4907280" cy="4167666"/>
            <wp:effectExtent b="0" l="0" r="0" t="0"/>
            <wp:docPr descr="Полная матрица ошибок 34×34" title="" id="97" name="Picture"/>
            <a:graphic>
              <a:graphicData uri="http://schemas.openxmlformats.org/drawingml/2006/picture">
                <pic:pic>
                  <pic:nvPicPr>
                    <pic:cNvPr descr="figures/confusion_full34.png" id="98" name="Picture"/>
                    <pic:cNvPicPr>
                      <a:picLocks noChangeArrowheads="1" noChangeAspect="1"/>
                    </pic:cNvPicPr>
                  </pic:nvPicPr>
                  <pic:blipFill>
                    <a:blip r:embed="rId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416766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rPr>
          <w:rFonts w:ascii="Times New Roman" w:hAnsi="Times New Roman" w:eastAsia="Times New Roman"/>
          <w:i/>
          <w:color w:val="555555"/>
          <w:sz w:val="20"/>
        </w:rPr>
        <w:t>Рисунок 11. Полная матрица ошибок 34×34</w:t>
      </w:r>
    </w:p>
    <w:bookmarkEnd w:id="99"/>
    <w:bookmarkStart w:id="100" w:name="X6880f1f19cb005315f2d20623d4d3d090728a0f"/>
    <w:p>
      <w:pPr>
        <w:pStyle w:val="Heading1"/>
      </w:pPr>
      <w:r>
        <w:t xml:space="preserve">Приложение B. Сводная таблица результатов</w:t>
      </w:r>
    </w:p>
    <w:p>
      <w:pPr>
        <w:pStyle w:val="FirstParagraph"/>
      </w:pPr>
      <w:r>
        <w:t xml:space="preserve">См.</w:t>
      </w:r>
      <w:r>
        <w:t xml:space="preserve"> </w:t>
      </w:r>
      <w:r>
        <w:rPr>
          <w:rStyle w:val="VerbatimChar"/>
        </w:rPr>
        <w:t xml:space="preserve">FINAL_RESULTS.csv</w:t>
      </w:r>
      <w:r>
        <w:t xml:space="preserve"> </w:t>
      </w:r>
      <w:r>
        <w:t xml:space="preserve">в корне проекта.</w:t>
      </w:r>
    </w:p>
    <w:bookmarkEnd w:id="100"/>
    <w:bookmarkStart w:id="101" w:name="приложение-c.-состав-архива"/>
    <w:p>
      <w:pPr>
        <w:pStyle w:val="Heading1"/>
      </w:pPr>
      <w:r>
        <w:t xml:space="preserve">Приложение C. Состав архива</w:t>
      </w:r>
    </w:p>
    <w:p>
      <w:pPr>
        <w:pStyle w:val="FirstParagraph"/>
      </w:pPr>
      <w:r>
        <w:t xml:space="preserve">В архив включены код, тесты, конфигурации, корпус, метаданные, документация,</w:t>
      </w:r>
      <w:r>
        <w:t xml:space="preserve"> </w:t>
      </w:r>
      <w:r>
        <w:t xml:space="preserve">отчёт, презентация (PPTX и LaTeX), сводные результаты и инструкции запуска.</w:t>
      </w:r>
      <w:r>
        <w:t xml:space="preserve"> </w:t>
      </w:r>
      <w:r>
        <w:t xml:space="preserve">Виртуальное окружение, кэш NLTK и промежуточные матрицы признаков в архив не</w:t>
      </w:r>
      <w:r>
        <w:t xml:space="preserve"> </w:t>
      </w:r>
      <w:r>
        <w:t xml:space="preserve">включены: они восстанавливаются скриптами.</w:t>
      </w:r>
    </w:p>
    <w:bookmarkEnd w:id="101"/>
    <w:bookmarkStart w:id="102" w:name="X61d757675b872981395ca3b55fa03b19d0fd1d3"/>
    <w:p>
      <w:pPr>
        <w:pStyle w:val="Heading1"/>
      </w:pPr>
      <w:r>
        <w:t xml:space="preserve">Приложение D. Источники и программные средства</w:t>
      </w:r>
    </w:p>
    <w:p>
      <w:pPr>
        <w:pStyle w:val="Compact"/>
        <w:numPr>
          <w:ilvl w:val="0"/>
          <w:numId w:val="1014"/>
        </w:numPr>
      </w:pPr>
      <w:r>
        <w:t xml:space="preserve">Burrows, J. F. «Delta»: a Measure of Stylistic Difference and a Guide to</w:t>
      </w:r>
      <w:r>
        <w:t xml:space="preserve"> </w:t>
      </w:r>
      <w:r>
        <w:t xml:space="preserve">Likely Authorship // Literary and Linguistic Computing. 2002. Vol. 17,</w:t>
      </w:r>
      <w:r>
        <w:t xml:space="preserve"> </w:t>
      </w:r>
      <w:r>
        <w:t xml:space="preserve">no. 3. P. 267–287.</w:t>
      </w:r>
    </w:p>
    <w:p>
      <w:pPr>
        <w:pStyle w:val="Compact"/>
        <w:numPr>
          <w:ilvl w:val="0"/>
          <w:numId w:val="1014"/>
        </w:numPr>
      </w:pPr>
      <w:r>
        <w:t xml:space="preserve">Eder, M., Rybicki, J., Kestemont, M. Stylometry with R: A Package for</w:t>
      </w:r>
      <w:r>
        <w:t xml:space="preserve"> </w:t>
      </w:r>
      <w:r>
        <w:t xml:space="preserve">Computational Text Analysis // The R Journal. 2016. Vol. 8, no. 1.</w:t>
      </w:r>
      <w:r>
        <w:t xml:space="preserve"> </w:t>
      </w:r>
      <w:r>
        <w:t xml:space="preserve">P. 107–121.</w:t>
      </w:r>
    </w:p>
    <w:p>
      <w:pPr>
        <w:pStyle w:val="Compact"/>
        <w:numPr>
          <w:ilvl w:val="0"/>
          <w:numId w:val="1014"/>
        </w:numPr>
      </w:pPr>
      <w:r>
        <w:t xml:space="preserve">Mosteller, F., Wallace, D. L. Inference and Disputed Authorship:</w:t>
      </w:r>
      <w:r>
        <w:t xml:space="preserve"> </w:t>
      </w:r>
      <w:r>
        <w:t xml:space="preserve">The Federalist. Reading, MA: Addison-Wesley, 1964.</w:t>
      </w:r>
    </w:p>
    <w:p>
      <w:pPr>
        <w:pStyle w:val="Compact"/>
        <w:numPr>
          <w:ilvl w:val="0"/>
          <w:numId w:val="1014"/>
        </w:numPr>
      </w:pPr>
      <w:r>
        <w:t xml:space="preserve">Stamatatos, E. A Survey of Modern Authorship Attribution Methods // Journal of the American Society for Information Science and Technology. 2009. Vol. 60, no. 3. P. 538–556.</w:t>
      </w:r>
    </w:p>
    <w:p>
      <w:pPr>
        <w:pStyle w:val="Compact"/>
        <w:numPr>
          <w:ilvl w:val="0"/>
          <w:numId w:val="1014"/>
        </w:numPr>
      </w:pPr>
      <w:r>
        <w:t xml:space="preserve">Pedregosa, F. et al. Scikit-learn: Machine Learning in Python //</w:t>
      </w:r>
      <w:r>
        <w:t xml:space="preserve"> </w:t>
      </w:r>
      <w:r>
        <w:t xml:space="preserve">Journal of Machine Learning Research. 2011. Vol. 12. P. 2825–2830.</w:t>
      </w:r>
    </w:p>
    <w:p>
      <w:pPr>
        <w:pStyle w:val="Compact"/>
        <w:numPr>
          <w:ilvl w:val="0"/>
          <w:numId w:val="1014"/>
        </w:numPr>
      </w:pPr>
      <w:r>
        <w:t xml:space="preserve">Bird, S., Klein, E., Loper, E. Natural Language Processing with Python.</w:t>
      </w:r>
      <w:r>
        <w:t xml:space="preserve"> </w:t>
      </w:r>
      <w:r>
        <w:t xml:space="preserve">Sebastopol, CA: O’Reilly Media, 2009.</w:t>
      </w:r>
    </w:p>
    <w:p>
      <w:pPr>
        <w:pStyle w:val="Compact"/>
        <w:numPr>
          <w:ilvl w:val="0"/>
          <w:numId w:val="1014"/>
        </w:numPr>
      </w:pPr>
      <w:r>
        <w:t xml:space="preserve">ConcernedApe. Stardew Valley. Video game. 2016.</w:t>
      </w:r>
    </w:p>
    <w:bookmarkEnd w:id="102"/>
    <w:sectPr>
      <w:headerReference w:type="default" r:id="rId9"/>
      <w:footerReference w:type="default" r:id="rId10"/>
      <w:headerReference w:type="first" r:id="rId11"/>
      <w:footerReference w:type="first" r:id="rId12"/>
      <w:footnotePr>
        <w:numRestart w:val="eachSect"/>
      </w:footnotePr>
      <w:pgSz w:w="11906" w:h="16838"/>
      <w:pgMar w:left="1474" w:right="1020" w:top="1134" w:bottom="1134" w:header="567" w:footer="567"/>
      <w:titlePg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0"/>
      <w:jc w:val="center"/>
    </w:pPr>
    <w:r>
      <w:rPr>
        <w:rFonts w:ascii="Times New Roman" w:hAnsi="Times New Roman" w:eastAsia="Times New Roman"/>
        <w:color w:val="555555"/>
        <w:sz w:val="18"/>
      </w:rPr>
      <w:t xml:space="preserve">Стр. </w:t>
    </w:r>
    <w:r>
      <w:rPr>
        <w:rFonts w:ascii="Times New Roman" w:hAnsi="Times New Roman" w:eastAsia="Times New Roman"/>
        <w:color w:val="555555"/>
        <w:sz w:val="18"/>
      </w:rPr>
      <w:fldChar w:fldCharType="begin"/>
      <w:instrText xml:space="preserve">PAGE</w:instrText>
      <w:fldChar w:fldCharType="end"/>
    </w:r>
    <w:r>
      <w:rPr>
        <w:rFonts w:ascii="Times New Roman" w:hAnsi="Times New Roman" w:eastAsia="Times New Roman"/>
        <w:color w:val="555555"/>
        <w:sz w:val="18"/>
      </w:rPr>
      <w:t xml:space="preserve"> из </w:t>
    </w:r>
    <w:r>
      <w:rPr>
        <w:rFonts w:ascii="Times New Roman" w:hAnsi="Times New Roman" w:eastAsia="Times New Roman"/>
        <w:color w:val="555555"/>
        <w:sz w:val="18"/>
      </w:rPr>
      <w:fldChar w:fldCharType="begin"/>
      <w:instrText xml:space="preserve">NUMPAGES</w:instrText>
      <w:fldChar w:fldCharType="end"/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/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  <w:pBdr>
        <w:bottom w:val="single" w:sz="4" w:space="4" w:color="D8CBB8"/>
      </w:pBdr>
    </w:pPr>
    <w:r>
      <w:rPr>
        <w:rFonts w:ascii="Times New Roman" w:hAnsi="Times New Roman" w:eastAsia="Times New Roman"/>
        <w:color w:val="555555"/>
        <w:sz w:val="17"/>
      </w:rPr>
      <w:t>Стилометрия реплик Stardew Valley · отчёт по лабораторной работе №1</w:t>
    </w:r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/>
  </w:p>
</w:hdr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1">
    <w:abstractNumId w:val="991"/>
  </w:num>
  <w:num w:numId="101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3">
    <w:abstractNumId w:val="991"/>
  </w:num>
  <w:num w:numId="101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ru-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  <w:pPr>
      <w:spacing w:line="360" w:lineRule="auto" w:before="0" w:after="0"/>
      <w:ind w:firstLine="709"/>
      <w:jc w:val="both"/>
    </w:pPr>
    <w:rPr>
      <w:rFonts w:ascii="Times New Roman" w:hAnsi="Times New Roman" w:eastAsia="Times New Roman" w:cs="Times New Roman"/>
      <w:b w:val="0"/>
      <w:color w:val="1A1A1A"/>
      <w:sz w:val="24"/>
    </w:rPr>
  </w:style>
  <w:style w:styleId="BodyText" w:type="paragraph">
    <w:name w:val="Body Text"/>
    <w:basedOn w:val="Normal"/>
    <w:link w:val="BodyTextChar"/>
    <w:qFormat/>
    <w:pPr>
      <w:spacing w:after="120" w:before="0" w:line="360" w:lineRule="auto"/>
      <w:ind w:firstLine="709"/>
      <w:jc w:val="both"/>
    </w:pPr>
    <w:rPr>
      <w:rFonts w:ascii="Times New Roman" w:hAnsi="Times New Roman" w:eastAsia="Times New Roman" w:cs="Times New Roman"/>
      <w:b w:val="0"/>
      <w:color w:val="1A1A1A"/>
      <w:sz w:val="24"/>
    </w:rPr>
  </w:style>
  <w:style w:customStyle="1" w:styleId="FirstParagraph" w:type="paragraph">
    <w:name w:val="First Paragraph"/>
    <w:basedOn w:val="BodyText"/>
    <w:next w:val="BodyText"/>
    <w:qFormat/>
    <w:pPr>
      <w:spacing w:line="360" w:lineRule="auto" w:before="0" w:after="120"/>
      <w:ind w:firstLine="709"/>
      <w:jc w:val="both"/>
    </w:pPr>
    <w:rPr>
      <w:rFonts w:ascii="Times New Roman" w:hAnsi="Times New Roman" w:eastAsia="Times New Roman" w:cs="Times New Roman"/>
      <w:b w:val="0"/>
      <w:color w:val="1A1A1A"/>
      <w:sz w:val="24"/>
    </w:rPr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240" w:line="264" w:lineRule="auto" w:before="3000"/>
      <w:contextualSpacing/>
      <w:jc w:val="center"/>
    </w:pPr>
    <w:rPr>
      <w:rFonts w:asciiTheme="majorHAnsi" w:cstheme="majorBidi" w:eastAsiaTheme="majorEastAsia" w:hAnsiTheme="majorHAnsi" w:ascii="Times New Roman" w:hAnsi="Times New Roman" w:eastAsia="Times New Roman" w:cs="Times New Roman"/>
      <w:b/>
      <w:color w:val="5B3A1E"/>
      <w:sz w:val="48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  <w:spacing w:before="0" w:after="560" w:line="288" w:lineRule="auto"/>
      <w:jc w:val="center"/>
    </w:pPr>
    <w:rPr>
      <w:rFonts w:cstheme="majorBidi" w:eastAsiaTheme="majorEastAsia" w:ascii="Times New Roman" w:hAnsi="Times New Roman" w:eastAsia="Times New Roman" w:cs="Times New Roman"/>
      <w:b w:val="0"/>
      <w:color w:val="1A1A1A"/>
      <w:spacing w:val="15"/>
      <w:sz w:val="30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  <w:spacing w:before="0" w:after="120"/>
      <w:jc w:val="center"/>
    </w:pPr>
    <w:rPr>
      <w:rFonts w:ascii="Times New Roman" w:hAnsi="Times New Roman" w:eastAsia="Times New Roman" w:cs="Times New Roman"/>
      <w:b w:val="0"/>
      <w:color w:val="1A1A1A"/>
      <w:sz w:val="26"/>
      <w:szCs w:val="24"/>
    </w:rPr>
  </w:style>
  <w:style w:styleId="Date" w:type="paragraph">
    <w:name w:val="Date"/>
    <w:basedOn w:val="Title"/>
    <w:next w:val="BodyText"/>
    <w:qFormat/>
    <w:pPr>
      <w:keepNext/>
      <w:keepLines/>
      <w:spacing w:before="0" w:after="0"/>
      <w:jc w:val="center"/>
    </w:pPr>
    <w:rPr>
      <w:rFonts w:ascii="Times New Roman" w:hAnsi="Times New Roman" w:eastAsia="Times New Roman" w:cs="Times New Roman"/>
      <w:b w:val="0"/>
      <w:color w:val="555555"/>
      <w:sz w:val="26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pageBreakBefore w:val="0"/>
      <w:spacing w:after="200" w:before="400" w:line="276" w:lineRule="auto"/>
      <w:ind w:firstLine="0"/>
      <w:jc w:val="left"/>
      <w:outlineLvl w:val="0"/>
    </w:pPr>
    <w:rPr>
      <w:rFonts w:asciiTheme="majorHAnsi" w:cstheme="majorBidi" w:eastAsiaTheme="majorEastAsia" w:hAnsiTheme="majorHAnsi" w:ascii="Times New Roman" w:hAnsi="Times New Roman" w:eastAsia="Times New Roman" w:cs="Times New Roman"/>
      <w:b/>
      <w:color w:val="1A1A1A"/>
      <w:sz w:val="34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120" w:before="280" w:line="276" w:lineRule="auto"/>
      <w:ind w:firstLine="0"/>
      <w:jc w:val="left"/>
      <w:outlineLvl w:val="1"/>
    </w:pPr>
    <w:rPr>
      <w:rFonts w:asciiTheme="majorHAnsi" w:cstheme="majorBidi" w:eastAsiaTheme="majorEastAsia" w:hAnsiTheme="majorHAnsi" w:ascii="Times New Roman" w:hAnsi="Times New Roman" w:eastAsia="Times New Roman" w:cs="Times New Roman"/>
      <w:b/>
      <w:color w:val="1A1A1A"/>
      <w:sz w:val="28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240" w:line="276" w:lineRule="auto"/>
      <w:ind w:firstLine="0"/>
      <w:jc w:val="left"/>
      <w:outlineLvl w:val="2"/>
    </w:pPr>
    <w:rPr>
      <w:rFonts w:cstheme="majorBidi" w:eastAsiaTheme="majorEastAsia" w:ascii="Times New Roman" w:hAnsi="Times New Roman" w:eastAsia="Times New Roman" w:cs="Times New Roman"/>
      <w:b/>
      <w:color w:val="1A1A1A"/>
      <w:sz w:val="25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keepLines/>
      <w:spacing w:after="160" w:before="120" w:line="312" w:lineRule="auto"/>
      <w:ind w:left="567" w:right="283" w:firstLine="0"/>
    </w:pPr>
    <w:rPr>
      <w:rFonts w:ascii="Times New Roman" w:hAnsi="Times New Roman" w:eastAsia="Times New Roman" w:cs="Times New Roman"/>
      <w:b w:val="0"/>
      <w:i w:val="0"/>
      <w:color w:val="1A1A1A"/>
      <w:sz w:val="23"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240" w:before="80" w:line="276" w:lineRule="auto"/>
      <w:ind w:firstLine="0"/>
      <w:jc w:val="center"/>
    </w:pPr>
    <w:rPr>
      <w:rFonts w:ascii="Times New Roman" w:hAnsi="Times New Roman" w:eastAsia="Times New Roman" w:cs="Times New Roman"/>
      <w:b w:val="0"/>
      <w:i/>
      <w:color w:val="555555"/>
      <w:sz w:val="20"/>
    </w:rPr>
  </w:style>
  <w:style w:customStyle="1" w:styleId="TableCaption" w:type="paragraph">
    <w:name w:val="Table Caption"/>
    <w:basedOn w:val="Caption"/>
    <w:pPr>
      <w:keepNext/>
      <w:spacing w:line="276" w:lineRule="auto" w:before="200" w:after="80"/>
      <w:ind w:firstLine="0"/>
      <w:jc w:val="left"/>
    </w:pPr>
    <w:rPr>
      <w:rFonts w:ascii="Times New Roman" w:hAnsi="Times New Roman" w:eastAsia="Times New Roman" w:cs="Times New Roman"/>
      <w:b w:val="0"/>
      <w:i w:val="0"/>
      <w:color w:val="1A1A1A"/>
      <w:sz w:val="20"/>
    </w:rPr>
  </w:style>
  <w:style w:customStyle="1" w:styleId="ImageCaption" w:type="paragraph">
    <w:name w:val="Image Caption"/>
    <w:basedOn w:val="Caption"/>
    <w:pPr>
      <w:spacing w:line="276" w:lineRule="auto" w:before="80" w:after="240"/>
      <w:ind w:firstLine="0"/>
      <w:jc w:val="center"/>
    </w:pPr>
    <w:rPr>
      <w:rFonts w:ascii="Times New Roman" w:hAnsi="Times New Roman" w:eastAsia="Times New Roman" w:cs="Times New Roman"/>
      <w:b w:val="0"/>
      <w:i/>
      <w:color w:val="555555"/>
      <w:sz w:val="20"/>
    </w:rPr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Liberation Mono" w:hAnsi="Liberation Mono" w:eastAsia="Liberation Mono" w:cs="Liberation Mono"/>
      <w:b w:val="0"/>
      <w:color w:val="1A1A1A"/>
      <w:sz w:val="19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keepLines/>
      <w:wordWrap w:val="off"/>
      <w:spacing w:line="240" w:lineRule="auto" w:before="80" w:after="80"/>
      <w:ind w:left="340" w:firstLine="0"/>
      <w:jc w:val="left"/>
    </w:pPr>
    <w:rPr>
      <w:rFonts w:ascii="Liberation Mono" w:hAnsi="Liberation Mono" w:eastAsia="Liberation Mono" w:cs="Liberation Mono"/>
      <w:b w:val="0"/>
      <w:color w:val="1A1A1A"/>
      <w:sz w:val="18"/>
    </w:r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Relationship Id="rId34" Type="http://schemas.openxmlformats.org/officeDocument/2006/relationships/image" Target="media/rId34.png"/><Relationship Id="rId96" Type="http://schemas.openxmlformats.org/officeDocument/2006/relationships/image" Target="media/rId96.png"/><Relationship Id="rId74" Type="http://schemas.openxmlformats.org/officeDocument/2006/relationships/image" Target="media/rId74.png"/><Relationship Id="rId71" Type="http://schemas.openxmlformats.org/officeDocument/2006/relationships/image" Target="media/rId71.png"/><Relationship Id="rId63" Type="http://schemas.openxmlformats.org/officeDocument/2006/relationships/image" Target="media/rId63.png"/><Relationship Id="rId81" Type="http://schemas.openxmlformats.org/officeDocument/2006/relationships/image" Target="media/rId81.png"/><Relationship Id="rId31" Type="http://schemas.openxmlformats.org/officeDocument/2006/relationships/image" Target="media/rId31.png"/><Relationship Id="rId59" Type="http://schemas.openxmlformats.org/officeDocument/2006/relationships/image" Target="media/rId59.png"/><Relationship Id="rId78" Type="http://schemas.openxmlformats.org/officeDocument/2006/relationships/image" Target="media/rId78.png"/><Relationship Id="rId28" Type="http://schemas.openxmlformats.org/officeDocument/2006/relationships/image" Target="media/rId28.png"/><Relationship Id="rId67" Type="http://schemas.openxmlformats.org/officeDocument/2006/relationships/image" Target="media/rId67.png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Отчёт по лабораторной работе №1</dc:title>
  <dc:creator>А. А. Аладьина, В. Н. Копнин, М. В. Савостиков</dc:creator>
  <dc:language>ru-RU</dc:language>
  <cp:keywords/>
  <dcterms:created xsi:type="dcterms:W3CDTF">2026-10-31T22:24:06Z</dcterms:created>
  <dcterms:modified xsi:type="dcterms:W3CDTF">2026-10-31T22:24:06Z</dcterms:modified>
  <dc:subject>Классификация текстов на основе стилометрических характеристик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e">
    <vt:lpwstr>01.11.2026</vt:lpwstr>
  </property>
  <property fmtid="{D5CDD505-2E9C-101B-9397-08002B2CF9AE}" pid="3" name="subtitle">
    <vt:lpwstr>Классификация текстов на основе стилометрических характеристик</vt:lpwstr>
  </property>
</Properties>
</file>